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3A3C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3BEBD8C7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61E820FC" w14:textId="77777777" w:rsidR="00472E9F" w:rsidRPr="00EE373C" w:rsidRDefault="00F5443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E373C">
        <w:rPr>
          <w:rFonts w:asciiTheme="minorHAnsi" w:hAnsiTheme="minorHAnsi" w:cstheme="minorHAnsi"/>
          <w:b/>
          <w:bCs/>
          <w:sz w:val="36"/>
          <w:szCs w:val="36"/>
        </w:rPr>
        <w:t>GUIA DO USUÁRIO</w:t>
      </w:r>
    </w:p>
    <w:p w14:paraId="21464375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1F96A62A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17157BF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538"/>
      </w:tblGrid>
      <w:tr w:rsidR="00472E9F" w:rsidRPr="00EE373C" w14:paraId="051F88F4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26F6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Funcionalidade: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3667C" w14:textId="4FC5D1CA" w:rsidR="00472E9F" w:rsidRPr="00EE373C" w:rsidRDefault="00EC0D89" w:rsidP="00610349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C0D89">
              <w:rPr>
                <w:rFonts w:asciiTheme="minorHAnsi" w:hAnsiTheme="minorHAnsi" w:cstheme="minorHAnsi"/>
              </w:rPr>
              <w:t xml:space="preserve">Modelo de Nota Técnica da Dispensa </w:t>
            </w:r>
            <w:r w:rsidR="00610349">
              <w:rPr>
                <w:rFonts w:asciiTheme="minorHAnsi" w:hAnsiTheme="minorHAnsi" w:cstheme="minorHAnsi"/>
              </w:rPr>
              <w:t>com</w:t>
            </w:r>
            <w:bookmarkStart w:id="0" w:name="_GoBack"/>
            <w:bookmarkEnd w:id="0"/>
            <w:r w:rsidRPr="00EC0D89">
              <w:rPr>
                <w:rFonts w:asciiTheme="minorHAnsi" w:hAnsiTheme="minorHAnsi" w:cstheme="minorHAnsi"/>
              </w:rPr>
              <w:t xml:space="preserve"> Disputa</w:t>
            </w:r>
          </w:p>
        </w:tc>
      </w:tr>
      <w:tr w:rsidR="00472E9F" w:rsidRPr="00EE373C" w14:paraId="2F7374AE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5AD51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Perfil de usuário: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6CA81" w14:textId="77777777" w:rsidR="00472E9F" w:rsidRPr="00EE373C" w:rsidRDefault="00F5443C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Solicitante</w:t>
            </w:r>
          </w:p>
        </w:tc>
      </w:tr>
      <w:tr w:rsidR="00472E9F" w:rsidRPr="00EE373C" w14:paraId="6F5A835A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00B6D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5B18" w14:textId="441135E1" w:rsidR="00472E9F" w:rsidRPr="00EE373C" w:rsidRDefault="00303701" w:rsidP="00EC0D89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0</w:t>
            </w:r>
            <w:r w:rsidR="00EC0D89">
              <w:rPr>
                <w:rFonts w:asciiTheme="minorHAnsi" w:hAnsiTheme="minorHAnsi" w:cstheme="minorHAnsi"/>
              </w:rPr>
              <w:t>8</w:t>
            </w:r>
            <w:r w:rsidR="00F5443C" w:rsidRPr="00EE373C">
              <w:rPr>
                <w:rFonts w:asciiTheme="minorHAnsi" w:hAnsiTheme="minorHAnsi" w:cstheme="minorHAnsi"/>
              </w:rPr>
              <w:t>/0</w:t>
            </w:r>
            <w:r w:rsidR="00690C81" w:rsidRPr="00EE373C">
              <w:rPr>
                <w:rFonts w:asciiTheme="minorHAnsi" w:hAnsiTheme="minorHAnsi" w:cstheme="minorHAnsi"/>
              </w:rPr>
              <w:t>9</w:t>
            </w:r>
            <w:r w:rsidR="00F5443C" w:rsidRPr="00EE373C">
              <w:rPr>
                <w:rFonts w:asciiTheme="minorHAnsi" w:hAnsiTheme="minorHAnsi" w:cstheme="minorHAnsi"/>
              </w:rPr>
              <w:t>/2025</w:t>
            </w:r>
          </w:p>
        </w:tc>
      </w:tr>
      <w:tr w:rsidR="00472E9F" w:rsidRPr="00EE373C" w14:paraId="0433C014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E1984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Versão: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C6AD" w14:textId="77777777" w:rsidR="00472E9F" w:rsidRPr="00EE373C" w:rsidRDefault="00F5443C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1</w:t>
            </w:r>
          </w:p>
        </w:tc>
      </w:tr>
    </w:tbl>
    <w:p w14:paraId="505C81F3" w14:textId="634CE41C" w:rsidR="00472E9F" w:rsidRPr="00EE373C" w:rsidRDefault="00EC0D89">
      <w:pPr>
        <w:pStyle w:val="Standard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3FF015A" w14:textId="76989512" w:rsidR="00EC0D89" w:rsidRDefault="00F5443C" w:rsidP="00EC0D89">
      <w:pPr>
        <w:pStyle w:val="Sum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  <w:r w:rsidRPr="00EE373C">
        <w:rPr>
          <w:rFonts w:asciiTheme="minorHAnsi" w:hAnsiTheme="minorHAnsi" w:cstheme="minorHAnsi"/>
          <w:szCs w:val="24"/>
        </w:rPr>
        <w:fldChar w:fldCharType="begin"/>
      </w:r>
      <w:r w:rsidRPr="00EE373C">
        <w:rPr>
          <w:rFonts w:asciiTheme="minorHAnsi" w:hAnsiTheme="minorHAnsi" w:cstheme="minorHAnsi"/>
        </w:rPr>
        <w:instrText xml:space="preserve"> TOC \o "1-9" \u \l 1-9 \h </w:instrText>
      </w:r>
      <w:r w:rsidRPr="00EE373C">
        <w:rPr>
          <w:rFonts w:asciiTheme="minorHAnsi" w:hAnsiTheme="minorHAnsi" w:cstheme="minorHAnsi"/>
          <w:szCs w:val="24"/>
        </w:rPr>
        <w:fldChar w:fldCharType="separate"/>
      </w:r>
    </w:p>
    <w:p w14:paraId="6E9C8D16" w14:textId="0C0EB85A" w:rsidR="008271C2" w:rsidRDefault="008271C2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pt-BR" w:bidi="ar-SA"/>
        </w:rPr>
      </w:pPr>
    </w:p>
    <w:p w14:paraId="2F64FF82" w14:textId="06DD7709" w:rsidR="00472E9F" w:rsidRPr="00EE373C" w:rsidRDefault="00F5443C">
      <w:pPr>
        <w:pStyle w:val="Standard"/>
        <w:spacing w:line="276" w:lineRule="auto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szCs w:val="21"/>
        </w:rPr>
        <w:fldChar w:fldCharType="end"/>
      </w:r>
    </w:p>
    <w:p w14:paraId="50AAFDD6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  <w:szCs w:val="21"/>
        </w:rPr>
      </w:pPr>
    </w:p>
    <w:p w14:paraId="4AD8CBE4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  <w:szCs w:val="21"/>
        </w:rPr>
      </w:pPr>
    </w:p>
    <w:p w14:paraId="6C94C7E6" w14:textId="22C5B2B9" w:rsidR="007B3FDA" w:rsidRPr="00EE373C" w:rsidRDefault="007B3FDA">
      <w:pPr>
        <w:pStyle w:val="Default"/>
        <w:jc w:val="both"/>
        <w:rPr>
          <w:rFonts w:asciiTheme="minorHAnsi" w:hAnsiTheme="minorHAnsi" w:cstheme="minorHAnsi"/>
        </w:rPr>
      </w:pPr>
    </w:p>
    <w:p w14:paraId="156639E7" w14:textId="0DC80C77" w:rsidR="007B3FDA" w:rsidRPr="00EE373C" w:rsidRDefault="007B3FDA">
      <w:pPr>
        <w:pStyle w:val="Default"/>
        <w:jc w:val="both"/>
        <w:rPr>
          <w:rFonts w:asciiTheme="minorHAnsi" w:hAnsiTheme="minorHAnsi" w:cstheme="minorHAnsi"/>
        </w:rPr>
      </w:pPr>
    </w:p>
    <w:p w14:paraId="4E92F7E3" w14:textId="773CA451" w:rsidR="007B3FDA" w:rsidRPr="00EE373C" w:rsidRDefault="007B3FDA">
      <w:pPr>
        <w:pStyle w:val="Default"/>
        <w:jc w:val="both"/>
        <w:rPr>
          <w:rFonts w:asciiTheme="minorHAnsi" w:hAnsiTheme="minorHAnsi" w:cstheme="minorHAnsi"/>
        </w:rPr>
      </w:pPr>
    </w:p>
    <w:p w14:paraId="6C78A3FF" w14:textId="6B384F1E" w:rsidR="007B3FDA" w:rsidRPr="00EE373C" w:rsidRDefault="007B3FDA">
      <w:pPr>
        <w:pStyle w:val="Default"/>
        <w:jc w:val="both"/>
        <w:rPr>
          <w:rFonts w:asciiTheme="minorHAnsi" w:hAnsiTheme="minorHAnsi" w:cstheme="minorHAnsi"/>
        </w:rPr>
      </w:pPr>
    </w:p>
    <w:p w14:paraId="6A4017E0" w14:textId="37E0CE75" w:rsidR="007B3FDA" w:rsidRPr="00EE373C" w:rsidRDefault="007B3FDA">
      <w:pPr>
        <w:pStyle w:val="Default"/>
        <w:jc w:val="both"/>
        <w:rPr>
          <w:rFonts w:asciiTheme="minorHAnsi" w:hAnsiTheme="minorHAnsi" w:cstheme="minorHAnsi"/>
        </w:rPr>
      </w:pPr>
    </w:p>
    <w:p w14:paraId="465D2F6D" w14:textId="35596A6A" w:rsidR="007B3FDA" w:rsidRDefault="007B3FDA">
      <w:pPr>
        <w:pStyle w:val="Default"/>
        <w:jc w:val="both"/>
        <w:rPr>
          <w:rFonts w:asciiTheme="minorHAnsi" w:hAnsiTheme="minorHAnsi" w:cstheme="minorHAnsi"/>
        </w:rPr>
      </w:pPr>
    </w:p>
    <w:p w14:paraId="42543415" w14:textId="335EDFB9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59B98ABB" w14:textId="3E0C0F8F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6FBDC2CE" w14:textId="5DE73B37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0AD799DB" w14:textId="0C36171E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122181FD" w14:textId="2A848135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385D8DDE" w14:textId="78185FA7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5A1A79FC" w14:textId="44C69D2D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12889F04" w14:textId="1E4923DD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76F18CBB" w14:textId="2BB0CBA9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3881D143" w14:textId="6745BA06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78FE6B57" w14:textId="5368EFC6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7BC372D7" w14:textId="1419A23C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3671A2A7" w14:textId="4079A5C1" w:rsid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15D8A2B9" w14:textId="77777777" w:rsidR="00EE373C" w:rsidRPr="00EE373C" w:rsidRDefault="00EE373C">
      <w:pPr>
        <w:pStyle w:val="Default"/>
        <w:jc w:val="both"/>
        <w:rPr>
          <w:rFonts w:asciiTheme="minorHAnsi" w:hAnsiTheme="minorHAnsi" w:cstheme="minorHAnsi"/>
        </w:rPr>
      </w:pPr>
    </w:p>
    <w:p w14:paraId="668B88FA" w14:textId="2E02769C" w:rsidR="007B3FDA" w:rsidRPr="00EE373C" w:rsidRDefault="007B3FDA">
      <w:pPr>
        <w:pStyle w:val="Default"/>
        <w:jc w:val="both"/>
        <w:rPr>
          <w:rFonts w:asciiTheme="minorHAnsi" w:hAnsiTheme="minorHAnsi" w:cstheme="minorHAnsi"/>
        </w:rPr>
      </w:pPr>
    </w:p>
    <w:p w14:paraId="2F8D0136" w14:textId="4F74337B" w:rsidR="00CA6B82" w:rsidRPr="00EE373C" w:rsidRDefault="00CA6B82">
      <w:pPr>
        <w:pStyle w:val="Default"/>
        <w:jc w:val="both"/>
        <w:rPr>
          <w:rFonts w:asciiTheme="minorHAnsi" w:hAnsiTheme="minorHAnsi" w:cstheme="minorHAnsi"/>
        </w:rPr>
      </w:pPr>
    </w:p>
    <w:p w14:paraId="0671B211" w14:textId="33B44E71" w:rsidR="00472E9F" w:rsidRPr="00EE373C" w:rsidRDefault="00F5443C" w:rsidP="00E75F46">
      <w:pPr>
        <w:pStyle w:val="Ttulo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</w:rPr>
      </w:pPr>
      <w:bookmarkStart w:id="1" w:name="_Toc193466061"/>
      <w:bookmarkStart w:id="2" w:name="_Toc207887394"/>
      <w:r w:rsidRPr="00EE373C">
        <w:rPr>
          <w:rFonts w:asciiTheme="minorHAnsi" w:hAnsiTheme="minorHAnsi" w:cstheme="minorHAnsi"/>
          <w:lang w:bidi="ar-SA"/>
        </w:rPr>
        <w:lastRenderedPageBreak/>
        <w:t>MODELO DE PREENCHIMENTO DA NOTA TÉCNICA</w:t>
      </w:r>
      <w:bookmarkEnd w:id="1"/>
      <w:bookmarkEnd w:id="2"/>
      <w:r w:rsidR="00EC0D89">
        <w:rPr>
          <w:rFonts w:asciiTheme="minorHAnsi" w:hAnsiTheme="minorHAnsi" w:cstheme="minorHAnsi"/>
          <w:lang w:bidi="ar-SA"/>
        </w:rPr>
        <w:t xml:space="preserve"> DA DISPENSA COM DISPUTA</w:t>
      </w:r>
    </w:p>
    <w:p w14:paraId="37592DC5" w14:textId="77777777" w:rsidR="002F2C8B" w:rsidRDefault="002F2C8B" w:rsidP="002F2C8B">
      <w:pPr>
        <w:pStyle w:val="TableContents"/>
        <w:spacing w:line="276" w:lineRule="auto"/>
        <w:jc w:val="center"/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>(</w:t>
      </w:r>
      <w:proofErr w:type="gramStart"/>
      <w:r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>os</w:t>
      </w:r>
      <w:proofErr w:type="gramEnd"/>
      <w:r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 xml:space="preserve"> itens destacados de vermelho devem ser preenchidos e/ou retirados da nota técnica, se não se aplicarem a pesquisa de preço realizada. Itens com o mesmo número indicam alternativas excludentes, ou seja, escolha apenas uma delas)</w:t>
      </w:r>
    </w:p>
    <w:p w14:paraId="0042A2A5" w14:textId="77777777" w:rsidR="00472E9F" w:rsidRPr="00EE373C" w:rsidRDefault="00472E9F">
      <w:pPr>
        <w:pStyle w:val="TableContents"/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1766567B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 – OBJETO DA CONTRATAÇÃO</w:t>
      </w:r>
    </w:p>
    <w:p w14:paraId="4C106B8D" w14:textId="77777777" w:rsidR="00472E9F" w:rsidRPr="00EE373C" w:rsidRDefault="00F5443C" w:rsidP="00955C92">
      <w:pPr>
        <w:pStyle w:val="Textbody"/>
        <w:numPr>
          <w:ilvl w:val="1"/>
          <w:numId w:val="55"/>
        </w:numPr>
        <w:spacing w:line="276" w:lineRule="auto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O objeto da presente contratação é a aquisição/contratação de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para o setor/departamento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do CEFET-MG.</w:t>
      </w:r>
    </w:p>
    <w:p w14:paraId="2CFAD147" w14:textId="77777777" w:rsidR="00472E9F" w:rsidRPr="00EE373C" w:rsidRDefault="00472E9F">
      <w:pPr>
        <w:pStyle w:val="Textbody"/>
        <w:spacing w:line="276" w:lineRule="auto"/>
        <w:ind w:left="360"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2D3B60AB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II- PARÂMETROS CONSULTADOS</w:t>
      </w:r>
    </w:p>
    <w:p w14:paraId="59F84BB9" w14:textId="3D904310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color w:val="auto"/>
          <w:szCs w:val="22"/>
        </w:rPr>
        <w:t xml:space="preserve">2.1. Para a definição do valor estimado da contratação foram utilizados os parâmetros dos incisos </w:t>
      </w:r>
      <w:r w:rsidRPr="00EE373C">
        <w:rPr>
          <w:rFonts w:asciiTheme="minorHAnsi" w:hAnsiTheme="minorHAnsi" w:cstheme="minorHAnsi"/>
          <w:color w:val="FF0000"/>
          <w:szCs w:val="22"/>
        </w:rPr>
        <w:t>X</w:t>
      </w:r>
      <w:r w:rsidRPr="00EE373C">
        <w:rPr>
          <w:rFonts w:asciiTheme="minorHAnsi" w:hAnsiTheme="minorHAnsi" w:cstheme="minorHAnsi"/>
          <w:color w:val="auto"/>
          <w:szCs w:val="22"/>
        </w:rPr>
        <w:t xml:space="preserve"> e </w:t>
      </w:r>
      <w:r w:rsidRPr="00EE373C">
        <w:rPr>
          <w:rFonts w:asciiTheme="minorHAnsi" w:hAnsiTheme="minorHAnsi" w:cstheme="minorHAnsi"/>
          <w:color w:val="FF0000"/>
          <w:szCs w:val="22"/>
        </w:rPr>
        <w:t xml:space="preserve">Y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[especificar o(s) inciso(s)]</w:t>
      </w:r>
      <w:r w:rsidRPr="00EE373C">
        <w:rPr>
          <w:rFonts w:asciiTheme="minorHAnsi" w:hAnsiTheme="minorHAnsi" w:cstheme="minorHAnsi"/>
          <w:color w:val="auto"/>
          <w:szCs w:val="22"/>
        </w:rPr>
        <w:t xml:space="preserve"> da </w:t>
      </w:r>
      <w:hyperlink r:id="rId7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n° 65/2021</w:t>
        </w:r>
      </w:hyperlink>
      <w:r w:rsidRPr="00EE373C">
        <w:rPr>
          <w:rFonts w:asciiTheme="minorHAnsi" w:hAnsiTheme="minorHAnsi" w:cstheme="minorHAnsi"/>
          <w:color w:val="auto"/>
          <w:szCs w:val="22"/>
        </w:rPr>
        <w:t>, conforme discriminado na tabela abaixo:</w:t>
      </w:r>
    </w:p>
    <w:p w14:paraId="257DDC9D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Observação: no caso de mais de um item, especificar por item ou pelo conjunto de itens que utilizem o mesmo parâmetro. Exemplo</w:t>
      </w:r>
      <w:r w:rsidRPr="00EE373C">
        <w:rPr>
          <w:rFonts w:asciiTheme="minorHAnsi" w:hAnsiTheme="minorHAnsi" w:cstheme="minorHAnsi"/>
          <w:color w:val="FF0000"/>
          <w:sz w:val="20"/>
          <w:szCs w:val="20"/>
        </w:rPr>
        <w:t>:</w:t>
      </w:r>
    </w:p>
    <w:p w14:paraId="688535CB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</w:p>
    <w:p w14:paraId="596DA6E1" w14:textId="101F73D2" w:rsidR="00472E9F" w:rsidRPr="00EE373C" w:rsidRDefault="00CC6606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noProof/>
          <w:color w:val="auto"/>
          <w:szCs w:val="22"/>
          <w:lang w:eastAsia="pt-BR" w:bidi="ar-SA"/>
        </w:rPr>
        <w:drawing>
          <wp:inline distT="0" distB="0" distL="0" distR="0" wp14:anchorId="5E222A51" wp14:editId="43F459A2">
            <wp:extent cx="6123940" cy="1226185"/>
            <wp:effectExtent l="0" t="0" r="0" b="0"/>
            <wp:docPr id="4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E26C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  <w:szCs w:val="22"/>
        </w:rPr>
      </w:pPr>
    </w:p>
    <w:p w14:paraId="69A63D85" w14:textId="45ECC76F" w:rsidR="00472E9F" w:rsidRPr="00EE373C" w:rsidRDefault="00F5443C">
      <w:pPr>
        <w:pStyle w:val="Textbody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szCs w:val="22"/>
        </w:rPr>
        <w:t xml:space="preserve">2.2.  Foram priorizadas a consulta aos sistemas oficiais de governo e a contratações similares realizadas pela Administração Pública, em conformidade com o artigo 5º, parágrafo 1, da </w:t>
      </w:r>
      <w:hyperlink r:id="rId9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n° 65/2021</w:t>
        </w:r>
      </w:hyperlink>
      <w:r w:rsidRPr="00EE373C">
        <w:rPr>
          <w:rFonts w:asciiTheme="minorHAnsi" w:hAnsiTheme="minorHAnsi" w:cstheme="minorHAnsi"/>
          <w:szCs w:val="22"/>
        </w:rPr>
        <w:t xml:space="preserve">. Esses resultados estão constantes no relatório e são oriundos das bases de dados do </w:t>
      </w:r>
      <w:hyperlink r:id="rId10" w:history="1">
        <w:r w:rsidR="005F6AE6" w:rsidRPr="00EE373C">
          <w:rPr>
            <w:rStyle w:val="Hyperlink"/>
            <w:rFonts w:asciiTheme="minorHAnsi" w:hAnsiTheme="minorHAnsi" w:cstheme="minorHAnsi"/>
            <w:szCs w:val="22"/>
          </w:rPr>
          <w:t>Compras.gov.br</w:t>
        </w:r>
      </w:hyperlink>
      <w:r w:rsidR="005F6AE6" w:rsidRPr="00EE373C">
        <w:rPr>
          <w:rFonts w:asciiTheme="minorHAnsi" w:hAnsiTheme="minorHAnsi" w:cstheme="minorHAnsi"/>
          <w:szCs w:val="22"/>
        </w:rPr>
        <w:t xml:space="preserve"> </w:t>
      </w:r>
      <w:r w:rsidRPr="00EE373C">
        <w:rPr>
          <w:rFonts w:asciiTheme="minorHAnsi" w:hAnsiTheme="minorHAnsi" w:cstheme="minorHAnsi"/>
          <w:szCs w:val="22"/>
        </w:rPr>
        <w:t xml:space="preserve">– sistema oficial do poder executivo federal. </w:t>
      </w:r>
      <w:r w:rsidRPr="00EE373C">
        <w:rPr>
          <w:rFonts w:asciiTheme="minorHAnsi" w:hAnsiTheme="minorHAnsi" w:cstheme="minorHAnsi"/>
          <w:color w:val="FF0000"/>
          <w:szCs w:val="22"/>
        </w:rPr>
        <w:t>Porém, para os itens 1 e 2 não foram encontrados resultados suficientes que pudessem atender, per si, o disposto no caput do art. 6º da IN SEGES/ME n° 65/2021, situação pela qual foram incorporados preços de outras fontes de pesquisa especificadas no relatório anexo.</w:t>
      </w:r>
    </w:p>
    <w:p w14:paraId="299313ED" w14:textId="77777777" w:rsidR="00472E9F" w:rsidRPr="00EE373C" w:rsidRDefault="00F5443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0A702133" w14:textId="65075405" w:rsidR="00472E9F" w:rsidRPr="00EE373C" w:rsidRDefault="00F5443C">
      <w:pPr>
        <w:pStyle w:val="Textbody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color w:val="FF0000"/>
          <w:szCs w:val="22"/>
        </w:rPr>
        <w:t xml:space="preserve">2.2. Não foram priorizados os parâmetros do artigo 5º, incisos I e II da </w:t>
      </w:r>
      <w:hyperlink r:id="rId11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nº 65/2021</w:t>
        </w:r>
      </w:hyperlink>
      <w:r w:rsidRPr="00EE373C">
        <w:rPr>
          <w:rFonts w:asciiTheme="minorHAnsi" w:hAnsiTheme="minorHAnsi" w:cstheme="minorHAnsi"/>
          <w:color w:val="FF0000"/>
          <w:szCs w:val="22"/>
        </w:rPr>
        <w:t xml:space="preserve">, porque </w:t>
      </w: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[apresentar as justificativas tais quais: não foram encontrados resultados suficientes etc.]</w:t>
      </w:r>
      <w:r w:rsidRPr="00EE373C">
        <w:rPr>
          <w:rFonts w:asciiTheme="minorHAnsi" w:hAnsiTheme="minorHAnsi" w:cstheme="minorHAnsi"/>
          <w:iCs/>
          <w:color w:val="FF0000"/>
          <w:sz w:val="20"/>
          <w:szCs w:val="20"/>
        </w:rPr>
        <w:t>.</w:t>
      </w:r>
    </w:p>
    <w:p w14:paraId="0AB65A8D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</w:rPr>
      </w:pPr>
    </w:p>
    <w:p w14:paraId="29F28959" w14:textId="77777777" w:rsidR="00472E9F" w:rsidRPr="00EE373C" w:rsidRDefault="00F5443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2.3. Na consulta direta com fornecedores, foi enviada comunicação às seguintes empresas:</w:t>
      </w:r>
    </w:p>
    <w:p w14:paraId="588BD5B3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  <w:color w:val="FF0000"/>
          <w:sz w:val="6"/>
          <w:szCs w:val="8"/>
        </w:rPr>
      </w:pPr>
    </w:p>
    <w:p w14:paraId="079220FA" w14:textId="5535C01E" w:rsidR="00472E9F" w:rsidRPr="00EE373C" w:rsidRDefault="00CC6606">
      <w:pPr>
        <w:pStyle w:val="Textbody"/>
        <w:ind w:firstLine="0"/>
        <w:jc w:val="center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noProof/>
          <w:szCs w:val="22"/>
          <w:lang w:eastAsia="pt-BR" w:bidi="ar-SA"/>
        </w:rPr>
        <w:lastRenderedPageBreak/>
        <w:drawing>
          <wp:inline distT="0" distB="0" distL="0" distR="0" wp14:anchorId="2E477C2A" wp14:editId="5B8D424F">
            <wp:extent cx="5320030" cy="1475740"/>
            <wp:effectExtent l="0" t="0" r="0" b="0"/>
            <wp:docPr id="3" name="Image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CE58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  <w:sz w:val="6"/>
          <w:szCs w:val="8"/>
        </w:rPr>
      </w:pPr>
    </w:p>
    <w:p w14:paraId="2283D04D" w14:textId="702B9E1F" w:rsidR="00472E9F" w:rsidRPr="00EE373C" w:rsidRDefault="00F5443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2.4. O preço estimado para a contratação considerou o mínimo de três cotações, nos termos do artigo 6º, parágrafo 5, da IN SEGES/ME n° 65/2021.</w:t>
      </w:r>
    </w:p>
    <w:p w14:paraId="35DAD4A4" w14:textId="77777777" w:rsidR="00472E9F" w:rsidRPr="00EE373C" w:rsidRDefault="00F5443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271C7A09" w14:textId="1A35068A" w:rsidR="00472E9F" w:rsidRPr="00EE373C" w:rsidRDefault="00F5443C">
      <w:pPr>
        <w:pStyle w:val="Textbody"/>
        <w:ind w:firstLine="0"/>
        <w:rPr>
          <w:rFonts w:asciiTheme="minorHAnsi" w:hAnsiTheme="minorHAnsi" w:cstheme="minorHAnsi"/>
          <w:i/>
          <w:iCs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2.4. Não foi possível a obtenção do mínimo de três preços para estimativa do preço da contratação, pois [apresentar justificativas].</w:t>
      </w:r>
    </w:p>
    <w:p w14:paraId="7F488F15" w14:textId="4FFB6804" w:rsidR="007B3FDA" w:rsidRPr="00EE373C" w:rsidRDefault="007B3FDA">
      <w:pPr>
        <w:pStyle w:val="Textbody"/>
        <w:ind w:firstLine="0"/>
        <w:rPr>
          <w:rFonts w:asciiTheme="minorHAnsi" w:hAnsiTheme="minorHAnsi" w:cstheme="minorHAnsi"/>
          <w:i/>
          <w:iCs/>
          <w:color w:val="FF0000"/>
          <w:szCs w:val="22"/>
        </w:rPr>
      </w:pPr>
    </w:p>
    <w:p w14:paraId="7AD2410F" w14:textId="22CB023F" w:rsidR="009D11DC" w:rsidRPr="00EE373C" w:rsidRDefault="009D11DC">
      <w:pPr>
        <w:pStyle w:val="Textbody"/>
        <w:ind w:firstLine="0"/>
        <w:rPr>
          <w:rFonts w:asciiTheme="minorHAnsi" w:hAnsiTheme="minorHAnsi" w:cstheme="minorHAnsi"/>
          <w:color w:val="FF0000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2.5. O orçamento [XXXXXXX] é de um [</w:t>
      </w:r>
      <w:r w:rsidRPr="00EE373C">
        <w:rPr>
          <w:rFonts w:asciiTheme="minorHAnsi" w:hAnsiTheme="minorHAnsi" w:cstheme="minorHAnsi"/>
          <w:color w:val="FF0000"/>
        </w:rPr>
        <w:t>microempresa (</w:t>
      </w:r>
      <w:proofErr w:type="gramStart"/>
      <w:r w:rsidRPr="00EE373C">
        <w:rPr>
          <w:rFonts w:asciiTheme="minorHAnsi" w:hAnsiTheme="minorHAnsi" w:cstheme="minorHAnsi"/>
          <w:color w:val="FF0000"/>
        </w:rPr>
        <w:t>ME)]</w:t>
      </w:r>
      <w:proofErr w:type="gramEnd"/>
      <w:r w:rsidRPr="00EE373C">
        <w:rPr>
          <w:rFonts w:asciiTheme="minorHAnsi" w:hAnsiTheme="minorHAnsi" w:cstheme="minorHAnsi"/>
          <w:color w:val="FF0000"/>
        </w:rPr>
        <w:t xml:space="preserve"> ou de uma [empresa de pequeno porte (EPP)].</w:t>
      </w:r>
    </w:p>
    <w:p w14:paraId="31A74CF7" w14:textId="77777777" w:rsidR="009D11DC" w:rsidRPr="00EE373C" w:rsidRDefault="009D11DC" w:rsidP="009D11D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</w:p>
    <w:p w14:paraId="67CD2C2F" w14:textId="1D1B0BFB" w:rsidR="009D11DC" w:rsidRPr="00EE373C" w:rsidRDefault="009D11DC" w:rsidP="009D11D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0ED97BC0" w14:textId="486D3497" w:rsidR="009D11DC" w:rsidRPr="00EE373C" w:rsidRDefault="009D11DC">
      <w:pPr>
        <w:pStyle w:val="Textbody"/>
        <w:ind w:firstLine="0"/>
        <w:rPr>
          <w:rFonts w:asciiTheme="minorHAnsi" w:hAnsiTheme="minorHAnsi" w:cstheme="minorHAnsi"/>
          <w:color w:val="FF0000"/>
        </w:rPr>
      </w:pPr>
    </w:p>
    <w:p w14:paraId="20875568" w14:textId="19349853" w:rsidR="009D11DC" w:rsidRPr="00EE373C" w:rsidRDefault="009D11D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</w:rPr>
        <w:t xml:space="preserve">2.5. </w:t>
      </w:r>
      <w:r w:rsidRPr="00EE373C">
        <w:rPr>
          <w:rFonts w:asciiTheme="minorHAnsi" w:hAnsiTheme="minorHAnsi" w:cstheme="minorHAnsi"/>
          <w:color w:val="FF0000"/>
          <w:szCs w:val="22"/>
        </w:rPr>
        <w:t>Não foi possível a obtenção de no mínimo um orçamento, de uma microempresa (ME) ou de empresa de pequeno porte (EPP), em razão de [apresentar justificativas].</w:t>
      </w:r>
    </w:p>
    <w:p w14:paraId="0A8278AD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8"/>
          <w:szCs w:val="8"/>
        </w:rPr>
      </w:pPr>
    </w:p>
    <w:p w14:paraId="4A5C2A50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III- SÉRIE DE PREÇOS COLETADOS</w:t>
      </w:r>
    </w:p>
    <w:p w14:paraId="4CD01202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>3.1. A série de preços coletados consta em anexo a essa nota técnica de análise crítica de pesquisa de preços.</w:t>
      </w:r>
    </w:p>
    <w:p w14:paraId="654FB37C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12"/>
          <w:szCs w:val="12"/>
        </w:rPr>
      </w:pPr>
    </w:p>
    <w:p w14:paraId="3DA5974E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IV- METODOLOGIA PARA OBTENÇÃO DO PREÇO ESTIMADO</w:t>
      </w:r>
    </w:p>
    <w:p w14:paraId="14AA5D76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Observação: especificar por item ou conjunto de itens, se o for caso, quando utilizado o mesmo método.</w:t>
      </w:r>
    </w:p>
    <w:p w14:paraId="66D02E57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4"/>
          <w:szCs w:val="4"/>
        </w:rPr>
      </w:pPr>
    </w:p>
    <w:p w14:paraId="5B8E9B77" w14:textId="144D48A6" w:rsidR="00472E9F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4.1. A obtenção do preço estimado deu-se com </w:t>
      </w:r>
      <w:r w:rsidRPr="00CE6FEC">
        <w:rPr>
          <w:rFonts w:asciiTheme="minorHAnsi" w:hAnsiTheme="minorHAnsi" w:cstheme="minorHAnsi"/>
          <w:bCs/>
          <w:color w:val="auto"/>
          <w:szCs w:val="22"/>
        </w:rPr>
        <w:t xml:space="preserve">base </w:t>
      </w:r>
      <w:r w:rsidR="007A1FAC" w:rsidRPr="00CE6FEC">
        <w:rPr>
          <w:rFonts w:asciiTheme="minorHAnsi" w:hAnsiTheme="minorHAnsi" w:cstheme="minorHAnsi"/>
          <w:bCs/>
          <w:color w:val="auto"/>
          <w:szCs w:val="22"/>
        </w:rPr>
        <w:t>n</w:t>
      </w:r>
      <w:r w:rsidR="00B52A6C" w:rsidRPr="00CE6FEC">
        <w:rPr>
          <w:rFonts w:asciiTheme="minorHAnsi" w:hAnsiTheme="minorHAnsi" w:cstheme="minorHAnsi"/>
          <w:bCs/>
          <w:color w:val="auto"/>
          <w:szCs w:val="22"/>
        </w:rPr>
        <w:t xml:space="preserve">a </w:t>
      </w:r>
      <w:r w:rsidR="00B52A6C" w:rsidRPr="00CE6FEC">
        <w:rPr>
          <w:color w:val="FF0000"/>
          <w:szCs w:val="22"/>
        </w:rPr>
        <w:t xml:space="preserve">[média/menor preço/mediana] </w:t>
      </w:r>
      <w:r w:rsidRPr="00CE6FEC">
        <w:rPr>
          <w:rFonts w:asciiTheme="minorHAnsi" w:hAnsiTheme="minorHAnsi" w:cstheme="minorHAnsi"/>
          <w:bCs/>
          <w:color w:val="auto"/>
          <w:szCs w:val="22"/>
        </w:rPr>
        <w:t>dos valores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obtidos na pesquisa de preços, em razão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[apresentar justificativa para a escolha da metodologia]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>.</w:t>
      </w:r>
    </w:p>
    <w:p w14:paraId="73E8D1BB" w14:textId="77777777" w:rsidR="00731421" w:rsidRDefault="00731421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657D6FCF" w14:textId="31FD8814" w:rsidR="00731421" w:rsidRPr="00EE373C" w:rsidRDefault="00731421" w:rsidP="00731421">
      <w:pPr>
        <w:pStyle w:val="Textbody"/>
        <w:spacing w:line="276" w:lineRule="auto"/>
        <w:ind w:firstLine="0"/>
        <w:jc w:val="center"/>
        <w:rPr>
          <w:rFonts w:asciiTheme="minorHAnsi" w:hAnsiTheme="minorHAnsi" w:cstheme="minorHAnsi"/>
        </w:rPr>
      </w:pPr>
      <w:r w:rsidRPr="00731421">
        <w:rPr>
          <w:rFonts w:asciiTheme="minorHAnsi" w:hAnsiTheme="minorHAnsi" w:cstheme="minorHAnsi"/>
          <w:noProof/>
          <w:lang w:eastAsia="pt-BR" w:bidi="ar-SA"/>
        </w:rPr>
        <w:drawing>
          <wp:inline distT="0" distB="0" distL="0" distR="0" wp14:anchorId="665A2A06" wp14:editId="0F3C386C">
            <wp:extent cx="4452177" cy="876300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8833" cy="8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1899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8"/>
          <w:szCs w:val="8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7830"/>
      </w:tblGrid>
      <w:tr w:rsidR="00472E9F" w:rsidRPr="00EE373C" w14:paraId="0C9FB1AA" w14:textId="77777777">
        <w:trPr>
          <w:trHeight w:val="669"/>
        </w:trPr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329BC" w14:textId="77777777" w:rsidR="00472E9F" w:rsidRPr="00EE373C" w:rsidRDefault="00F5443C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2"/>
              </w:rPr>
              <w:lastRenderedPageBreak/>
              <w:t>Ponto de atenção!</w:t>
            </w:r>
          </w:p>
        </w:tc>
        <w:tc>
          <w:tcPr>
            <w:tcW w:w="7830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CBCA4" w14:textId="2043015F" w:rsidR="00731421" w:rsidRPr="00CE6FEC" w:rsidRDefault="00731421" w:rsidP="00731421">
            <w:pPr>
              <w:pStyle w:val="TableContents"/>
              <w:jc w:val="both"/>
              <w:rPr>
                <w:color w:val="FF0000"/>
                <w:sz w:val="20"/>
                <w:szCs w:val="20"/>
              </w:rPr>
            </w:pPr>
            <w:r w:rsidRPr="00CE6FEC">
              <w:rPr>
                <w:color w:val="FF0000"/>
                <w:sz w:val="20"/>
                <w:szCs w:val="20"/>
              </w:rPr>
              <w:t xml:space="preserve">Se forem obtidas cotações a partir do critério I do art. 5 da </w:t>
            </w:r>
            <w:hyperlink r:id="rId14" w:history="1">
              <w:r w:rsidRPr="00CE6FEC">
                <w:rPr>
                  <w:rStyle w:val="Hyperlink"/>
                  <w:sz w:val="20"/>
                  <w:szCs w:val="20"/>
                </w:rPr>
                <w:t>IN SEGES/ME n° 65/2021</w:t>
              </w:r>
            </w:hyperlink>
            <w:r w:rsidRPr="00CE6FEC">
              <w:rPr>
                <w:color w:val="FF0000"/>
                <w:sz w:val="20"/>
                <w:szCs w:val="20"/>
              </w:rPr>
              <w:t xml:space="preserve"> (sistemas oficiais do governo), sugere-se adotar como metodologia de obtenção de preço estimado a </w:t>
            </w:r>
            <w:r w:rsidRPr="00CE6FEC">
              <w:rPr>
                <w:b/>
                <w:color w:val="FF0000"/>
                <w:sz w:val="20"/>
                <w:szCs w:val="20"/>
              </w:rPr>
              <w:t>mediana</w:t>
            </w:r>
            <w:r w:rsidRPr="00CE6FEC">
              <w:rPr>
                <w:color w:val="FF0000"/>
                <w:sz w:val="20"/>
                <w:szCs w:val="20"/>
              </w:rPr>
              <w:t xml:space="preserve"> ou a </w:t>
            </w:r>
            <w:r w:rsidRPr="00CE6FEC">
              <w:rPr>
                <w:b/>
                <w:bCs/>
                <w:color w:val="FF0000"/>
                <w:sz w:val="20"/>
                <w:szCs w:val="20"/>
              </w:rPr>
              <w:t>média</w:t>
            </w:r>
            <w:r w:rsidRPr="00CE6FEC">
              <w:rPr>
                <w:color w:val="FF0000"/>
                <w:sz w:val="20"/>
                <w:szCs w:val="20"/>
              </w:rPr>
              <w:t>, a depender do coeficiente de variação</w:t>
            </w:r>
            <w:r w:rsidR="00163C3F" w:rsidRPr="00CE6FEC">
              <w:rPr>
                <w:color w:val="FF0000"/>
                <w:sz w:val="20"/>
                <w:szCs w:val="20"/>
              </w:rPr>
              <w:t xml:space="preserve"> (CV)</w:t>
            </w:r>
            <w:r w:rsidRPr="00CE6FEC">
              <w:rPr>
                <w:color w:val="FF0000"/>
                <w:sz w:val="20"/>
                <w:szCs w:val="20"/>
              </w:rPr>
              <w:t xml:space="preserve">, </w:t>
            </w:r>
            <w:r w:rsidR="008F78AD" w:rsidRPr="00CE6FEC">
              <w:rPr>
                <w:color w:val="FF0000"/>
                <w:sz w:val="20"/>
                <w:szCs w:val="20"/>
              </w:rPr>
              <w:t>conforme segue</w:t>
            </w:r>
            <w:r w:rsidR="00163C3F" w:rsidRPr="00CE6FEC">
              <w:rPr>
                <w:color w:val="FF0000"/>
                <w:sz w:val="20"/>
                <w:szCs w:val="20"/>
              </w:rPr>
              <w:t>:</w:t>
            </w:r>
          </w:p>
          <w:p w14:paraId="5931F384" w14:textId="6C57F288" w:rsidR="00163C3F" w:rsidRPr="00CE6FEC" w:rsidRDefault="00163C3F" w:rsidP="00731421">
            <w:pPr>
              <w:pStyle w:val="TableContents"/>
              <w:jc w:val="both"/>
              <w:rPr>
                <w:color w:val="FF0000"/>
                <w:sz w:val="20"/>
                <w:szCs w:val="20"/>
              </w:rPr>
            </w:pPr>
          </w:p>
          <w:p w14:paraId="3E6D7B84" w14:textId="03D6400E" w:rsidR="00163C3F" w:rsidRPr="00CE6FEC" w:rsidRDefault="00163C3F" w:rsidP="00163C3F">
            <w:pPr>
              <w:pStyle w:val="TableContents"/>
              <w:numPr>
                <w:ilvl w:val="0"/>
                <w:numId w:val="61"/>
              </w:numPr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CE6FEC">
              <w:rPr>
                <w:color w:val="FF0000"/>
                <w:sz w:val="20"/>
                <w:szCs w:val="20"/>
              </w:rPr>
              <w:t>Para pesquisa</w:t>
            </w:r>
            <w:r w:rsidR="008F78AD" w:rsidRPr="00CE6FEC">
              <w:rPr>
                <w:color w:val="FF0000"/>
                <w:sz w:val="20"/>
                <w:szCs w:val="20"/>
              </w:rPr>
              <w:t>s</w:t>
            </w:r>
            <w:r w:rsidRPr="00CE6FEC">
              <w:rPr>
                <w:color w:val="FF0000"/>
                <w:sz w:val="20"/>
                <w:szCs w:val="20"/>
              </w:rPr>
              <w:t xml:space="preserve"> de preços cujo CV seja </w:t>
            </w:r>
            <w:r w:rsidR="008F78AD" w:rsidRPr="00CE6FEC">
              <w:rPr>
                <w:color w:val="FF0000"/>
                <w:sz w:val="20"/>
                <w:szCs w:val="20"/>
              </w:rPr>
              <w:t>inferior a</w:t>
            </w:r>
            <w:r w:rsidRPr="00CE6FEC">
              <w:rPr>
                <w:color w:val="FF0000"/>
                <w:sz w:val="20"/>
                <w:szCs w:val="20"/>
              </w:rPr>
              <w:t xml:space="preserve"> 20%, adota-se a média; </w:t>
            </w:r>
          </w:p>
          <w:p w14:paraId="0500349C" w14:textId="2FA3E3F5" w:rsidR="00163C3F" w:rsidRPr="00CE6FEC" w:rsidRDefault="00163C3F" w:rsidP="00163C3F">
            <w:pPr>
              <w:pStyle w:val="TableContents"/>
              <w:numPr>
                <w:ilvl w:val="0"/>
                <w:numId w:val="61"/>
              </w:numPr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CE6FEC">
              <w:rPr>
                <w:color w:val="FF0000"/>
                <w:kern w:val="0"/>
                <w:sz w:val="20"/>
                <w:szCs w:val="20"/>
              </w:rPr>
              <w:t>Para pesquisa</w:t>
            </w:r>
            <w:r w:rsidR="008F78AD" w:rsidRPr="00CE6FEC">
              <w:rPr>
                <w:color w:val="FF0000"/>
                <w:kern w:val="0"/>
                <w:sz w:val="20"/>
                <w:szCs w:val="20"/>
              </w:rPr>
              <w:t>s</w:t>
            </w:r>
            <w:r w:rsidRPr="00CE6FEC">
              <w:rPr>
                <w:color w:val="FF0000"/>
                <w:kern w:val="0"/>
                <w:sz w:val="20"/>
                <w:szCs w:val="20"/>
              </w:rPr>
              <w:t xml:space="preserve"> de preços cujo CV seja </w:t>
            </w:r>
            <w:r w:rsidR="008F78AD" w:rsidRPr="00CE6FEC">
              <w:rPr>
                <w:color w:val="FF0000"/>
                <w:kern w:val="0"/>
                <w:sz w:val="20"/>
                <w:szCs w:val="20"/>
              </w:rPr>
              <w:t>superior a</w:t>
            </w:r>
            <w:r w:rsidRPr="00CE6FEC">
              <w:rPr>
                <w:color w:val="FF0000"/>
                <w:kern w:val="0"/>
                <w:sz w:val="20"/>
                <w:szCs w:val="20"/>
              </w:rPr>
              <w:t xml:space="preserve"> 20%, adota-se a mediana.</w:t>
            </w:r>
          </w:p>
          <w:p w14:paraId="22CB3F58" w14:textId="6A49CF5C" w:rsidR="00163C3F" w:rsidRPr="00CE6FEC" w:rsidRDefault="00163C3F" w:rsidP="00163C3F">
            <w:pPr>
              <w:pStyle w:val="TableContents"/>
              <w:jc w:val="both"/>
              <w:textAlignment w:val="auto"/>
              <w:rPr>
                <w:color w:val="FF0000"/>
                <w:kern w:val="0"/>
                <w:sz w:val="20"/>
                <w:szCs w:val="20"/>
              </w:rPr>
            </w:pPr>
          </w:p>
          <w:p w14:paraId="2CA4E5B3" w14:textId="6496CB4B" w:rsidR="00163C3F" w:rsidRPr="00CE6FEC" w:rsidRDefault="00163C3F" w:rsidP="00163C3F">
            <w:pPr>
              <w:pStyle w:val="TableContents"/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CE6FEC">
              <w:rPr>
                <w:color w:val="FF0000"/>
                <w:kern w:val="0"/>
                <w:sz w:val="20"/>
                <w:szCs w:val="20"/>
              </w:rPr>
              <w:t xml:space="preserve">Salienta-se que a ferramenta Pesquisa de Preços do Compras.Gov calcula automaticamente o CV, conforme explicado no </w:t>
            </w:r>
            <w:r w:rsidR="00BD2133" w:rsidRPr="00CE6FEC">
              <w:rPr>
                <w:color w:val="FF0000"/>
                <w:kern w:val="0"/>
                <w:sz w:val="20"/>
                <w:szCs w:val="20"/>
              </w:rPr>
              <w:t xml:space="preserve">Guia “Ferramenta Pesquisa de Preços”, disponível no </w:t>
            </w:r>
            <w:hyperlink r:id="rId15" w:history="1">
              <w:r w:rsidR="008F78AD" w:rsidRPr="00CE6FEC">
                <w:rPr>
                  <w:rStyle w:val="Hyperlink"/>
                  <w:kern w:val="0"/>
                  <w:sz w:val="20"/>
                  <w:szCs w:val="20"/>
                </w:rPr>
                <w:t>s</w:t>
              </w:r>
              <w:r w:rsidR="00BD2133" w:rsidRPr="00CE6FEC">
                <w:rPr>
                  <w:rStyle w:val="Hyperlink"/>
                  <w:kern w:val="0"/>
                  <w:sz w:val="20"/>
                  <w:szCs w:val="20"/>
                </w:rPr>
                <w:t>ite da CLOG</w:t>
              </w:r>
            </w:hyperlink>
            <w:r w:rsidR="00BD2133" w:rsidRPr="00CE6FEC">
              <w:rPr>
                <w:color w:val="FF0000"/>
                <w:kern w:val="0"/>
                <w:sz w:val="20"/>
                <w:szCs w:val="20"/>
              </w:rPr>
              <w:t xml:space="preserve">. </w:t>
            </w:r>
          </w:p>
          <w:p w14:paraId="430D94A1" w14:textId="77777777" w:rsidR="00731421" w:rsidRPr="00CE6FEC" w:rsidRDefault="00731421" w:rsidP="00731421">
            <w:pPr>
              <w:pStyle w:val="TableContents"/>
              <w:jc w:val="both"/>
              <w:rPr>
                <w:color w:val="FF0000"/>
                <w:sz w:val="20"/>
                <w:szCs w:val="20"/>
              </w:rPr>
            </w:pPr>
          </w:p>
          <w:p w14:paraId="43A42EAE" w14:textId="49EDA6AB" w:rsidR="00472E9F" w:rsidRPr="00EE373C" w:rsidRDefault="00731421" w:rsidP="00731421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CE6FEC">
              <w:rPr>
                <w:color w:val="FF0000"/>
                <w:kern w:val="0"/>
                <w:sz w:val="20"/>
                <w:szCs w:val="20"/>
              </w:rPr>
              <w:t xml:space="preserve">Se forem obtidas cotações a partir dos critérios II, III, IV e V do art. 5 da </w:t>
            </w:r>
            <w:hyperlink r:id="rId16" w:history="1">
              <w:r w:rsidRPr="00CE6FEC">
                <w:rPr>
                  <w:rStyle w:val="Hyperlink"/>
                  <w:kern w:val="0"/>
                  <w:sz w:val="20"/>
                  <w:szCs w:val="20"/>
                </w:rPr>
                <w:t>IN SEGES/ME n° 65/2021</w:t>
              </w:r>
            </w:hyperlink>
            <w:r w:rsidRPr="00CE6FEC">
              <w:rPr>
                <w:color w:val="FF0000"/>
                <w:kern w:val="0"/>
                <w:sz w:val="20"/>
                <w:szCs w:val="20"/>
              </w:rPr>
              <w:t xml:space="preserve">, sugere-se adotar como metodologia de obtenção de preço estimado o </w:t>
            </w:r>
            <w:r w:rsidRPr="00CE6FEC">
              <w:rPr>
                <w:b/>
                <w:color w:val="FF0000"/>
                <w:kern w:val="0"/>
                <w:sz w:val="20"/>
                <w:szCs w:val="20"/>
              </w:rPr>
              <w:t>menor preço</w:t>
            </w:r>
            <w:r w:rsidRPr="00CE6FEC">
              <w:rPr>
                <w:color w:val="FF0000"/>
                <w:kern w:val="0"/>
                <w:sz w:val="20"/>
                <w:szCs w:val="20"/>
              </w:rPr>
              <w:t>, desde que tenham sido desconsiderados os valores inexequíveis e os excessivamente elevados e se, o objeto a ser contratado, não apresentar um histórico elevado de licitações desertas por motivo de estimativa de preços considerada inexequível.</w:t>
            </w:r>
          </w:p>
        </w:tc>
      </w:tr>
    </w:tbl>
    <w:p w14:paraId="3CBD320A" w14:textId="77777777" w:rsidR="009D11DC" w:rsidRPr="00EE373C" w:rsidRDefault="009D11D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p w14:paraId="656F822D" w14:textId="767D5EAC" w:rsidR="00472E9F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t>4.2. Dentro os preços coletados, foram desconsiderados aqueles inexequíveis, inconsistentes ou excessivamente elevados, utilizando a metodologia [XXXXXXX].</w:t>
      </w:r>
    </w:p>
    <w:p w14:paraId="42A5D78F" w14:textId="77777777" w:rsidR="00176A9D" w:rsidRDefault="00176A9D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7938"/>
      </w:tblGrid>
      <w:tr w:rsidR="00176A9D" w14:paraId="329F5F58" w14:textId="77777777" w:rsidTr="00176A9D"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006971" w14:textId="77777777" w:rsidR="00176A9D" w:rsidRDefault="00176A9D">
            <w:pPr>
              <w:pStyle w:val="TableContents"/>
              <w:spacing w:line="276" w:lineRule="auto"/>
              <w:jc w:val="center"/>
            </w:pPr>
            <w:bookmarkStart w:id="3" w:name="_Hlk207888020"/>
            <w:r>
              <w:rPr>
                <w:rFonts w:cs="Calibr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7938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9CCD9" w14:textId="77777777" w:rsidR="00176A9D" w:rsidRPr="00EC0D89" w:rsidRDefault="00176A9D">
            <w:pPr>
              <w:pStyle w:val="TableContents"/>
              <w:jc w:val="both"/>
              <w:rPr>
                <w:color w:val="FF0000"/>
                <w:sz w:val="20"/>
              </w:rPr>
            </w:pPr>
            <w:r w:rsidRPr="00EC0D89">
              <w:rPr>
                <w:color w:val="FF0000"/>
                <w:sz w:val="20"/>
              </w:rPr>
              <w:t>Sugere-se que sejam desconsiderados os preços inexequíveis e os excessivamente elevados utilizando-se preferencialmente o método do desvio padrão:</w:t>
            </w:r>
          </w:p>
          <w:p w14:paraId="22946E89" w14:textId="77777777" w:rsidR="00176A9D" w:rsidRPr="00EC0D89" w:rsidRDefault="00176A9D">
            <w:pPr>
              <w:pStyle w:val="TableContents"/>
              <w:jc w:val="both"/>
              <w:rPr>
                <w:color w:val="FF0000"/>
                <w:sz w:val="20"/>
              </w:rPr>
            </w:pPr>
          </w:p>
          <w:p w14:paraId="33613F1C" w14:textId="77777777" w:rsidR="00176A9D" w:rsidRPr="00EC0D89" w:rsidRDefault="00176A9D" w:rsidP="00CE6FEC">
            <w:pPr>
              <w:pStyle w:val="TableContents"/>
              <w:ind w:left="516"/>
              <w:jc w:val="both"/>
            </w:pPr>
            <w:r w:rsidRPr="00EC0D89">
              <w:rPr>
                <w:b/>
                <w:color w:val="FF0000"/>
                <w:sz w:val="20"/>
              </w:rPr>
              <w:t xml:space="preserve">I - </w:t>
            </w:r>
            <w:proofErr w:type="gramStart"/>
            <w:r w:rsidRPr="00EC0D89">
              <w:rPr>
                <w:b/>
                <w:color w:val="FF0000"/>
                <w:sz w:val="20"/>
              </w:rPr>
              <w:t>excessivamente</w:t>
            </w:r>
            <w:proofErr w:type="gramEnd"/>
            <w:r w:rsidRPr="00EC0D89">
              <w:rPr>
                <w:b/>
                <w:color w:val="FF0000"/>
                <w:sz w:val="20"/>
              </w:rPr>
              <w:t xml:space="preserve"> elevado</w:t>
            </w:r>
            <w:r w:rsidRPr="00EC0D89">
              <w:rPr>
                <w:color w:val="FF0000"/>
                <w:sz w:val="20"/>
              </w:rPr>
              <w:t>: preço maior que o resultado da média das propostas somado ao desvio padrão; e</w:t>
            </w:r>
          </w:p>
          <w:p w14:paraId="34BED7A2" w14:textId="77777777" w:rsidR="00176A9D" w:rsidRPr="00EC0D89" w:rsidRDefault="00176A9D" w:rsidP="00CE6FEC">
            <w:pPr>
              <w:pStyle w:val="TableContents"/>
              <w:ind w:left="516"/>
              <w:jc w:val="both"/>
              <w:rPr>
                <w:color w:val="FF0000"/>
                <w:sz w:val="20"/>
              </w:rPr>
            </w:pPr>
          </w:p>
          <w:p w14:paraId="32437A97" w14:textId="77777777" w:rsidR="00176A9D" w:rsidRPr="00EC0D89" w:rsidRDefault="00176A9D" w:rsidP="00CE6FEC">
            <w:pPr>
              <w:pStyle w:val="TableContents"/>
              <w:ind w:left="516"/>
              <w:jc w:val="both"/>
              <w:rPr>
                <w:color w:val="FF0000"/>
                <w:sz w:val="20"/>
              </w:rPr>
            </w:pPr>
            <w:r w:rsidRPr="00EC0D89">
              <w:rPr>
                <w:b/>
                <w:color w:val="FF0000"/>
                <w:sz w:val="20"/>
              </w:rPr>
              <w:t xml:space="preserve">II - </w:t>
            </w:r>
            <w:proofErr w:type="gramStart"/>
            <w:r w:rsidRPr="00EC0D89">
              <w:rPr>
                <w:b/>
                <w:color w:val="FF0000"/>
                <w:sz w:val="20"/>
              </w:rPr>
              <w:t>inexequível</w:t>
            </w:r>
            <w:proofErr w:type="gramEnd"/>
            <w:r w:rsidRPr="00EC0D89">
              <w:rPr>
                <w:color w:val="FF0000"/>
                <w:sz w:val="20"/>
              </w:rPr>
              <w:t>: preço menor que o resultado da média das propostas subtraído do desvio padrão.</w:t>
            </w:r>
          </w:p>
          <w:p w14:paraId="04F7EB18" w14:textId="77777777" w:rsidR="00176A9D" w:rsidRPr="00EC0D89" w:rsidRDefault="00176A9D" w:rsidP="00CE6FEC">
            <w:pPr>
              <w:pStyle w:val="TableContents"/>
              <w:ind w:left="516"/>
              <w:jc w:val="both"/>
            </w:pPr>
          </w:p>
          <w:p w14:paraId="1863401D" w14:textId="7AB5DD1A" w:rsidR="00176A9D" w:rsidRPr="00EC0D89" w:rsidRDefault="00176A9D" w:rsidP="00176A9D">
            <w:pPr>
              <w:pStyle w:val="TableContents"/>
              <w:jc w:val="both"/>
              <w:textAlignment w:val="auto"/>
              <w:rPr>
                <w:color w:val="FF0000"/>
                <w:sz w:val="20"/>
                <w:szCs w:val="20"/>
              </w:rPr>
            </w:pPr>
            <w:r w:rsidRPr="00EC0D89">
              <w:rPr>
                <w:color w:val="FF0000"/>
                <w:kern w:val="0"/>
                <w:sz w:val="20"/>
                <w:szCs w:val="20"/>
              </w:rPr>
              <w:t xml:space="preserve">Salienta-se que a ferramenta Pesquisa de Preços do Compras.Gov calcula automaticamente o desvio padrão, conforme explicado no Guia “Ferramenta Pesquisa de Preços”, disponível no </w:t>
            </w:r>
            <w:hyperlink r:id="rId17" w:history="1">
              <w:r w:rsidRPr="00EC0D89">
                <w:rPr>
                  <w:rStyle w:val="Hyperlink"/>
                  <w:kern w:val="0"/>
                  <w:sz w:val="20"/>
                  <w:szCs w:val="20"/>
                </w:rPr>
                <w:t>site da CLOG</w:t>
              </w:r>
            </w:hyperlink>
            <w:r w:rsidRPr="00EC0D89">
              <w:rPr>
                <w:color w:val="FF0000"/>
                <w:kern w:val="0"/>
                <w:sz w:val="20"/>
                <w:szCs w:val="20"/>
              </w:rPr>
              <w:t xml:space="preserve">. </w:t>
            </w:r>
          </w:p>
        </w:tc>
      </w:tr>
      <w:bookmarkEnd w:id="3"/>
    </w:tbl>
    <w:p w14:paraId="09E69D0F" w14:textId="77777777" w:rsidR="00176A9D" w:rsidRPr="00EE373C" w:rsidRDefault="00176A9D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p w14:paraId="01E1D3C4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70AD47"/>
          <w:sz w:val="10"/>
          <w:szCs w:val="10"/>
        </w:rPr>
      </w:pPr>
    </w:p>
    <w:p w14:paraId="4F85AA65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t>4.3. A fim de obter valores na pesquisa de preços compatíveis com os praticados no mercado, quando se obteve uma grande variedade resultados, utilizou-se os seguintes filtros [XXXXXXX].</w:t>
      </w:r>
    </w:p>
    <w:p w14:paraId="55E6B444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10"/>
          <w:szCs w:val="10"/>
        </w:rPr>
      </w:pPr>
    </w:p>
    <w:p w14:paraId="0E9E81CD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V – MEMÓRIA DE CÁLCULO E CONCLUSÃO</w:t>
      </w:r>
    </w:p>
    <w:p w14:paraId="71E65AEE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12"/>
          <w:szCs w:val="12"/>
        </w:rPr>
      </w:pPr>
    </w:p>
    <w:p w14:paraId="2D3B44EA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5.1. O preço estimado da contratação é de R$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[escrever por extenso o valor total da pesquisa]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>, conforme memória de cálculo abaixo:</w:t>
      </w:r>
    </w:p>
    <w:p w14:paraId="55CF8093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Cs w:val="22"/>
        </w:rPr>
        <w:t>(</w:t>
      </w:r>
      <w:proofErr w:type="gramStart"/>
      <w:r w:rsidRPr="00EE373C">
        <w:rPr>
          <w:rFonts w:asciiTheme="minorHAnsi" w:hAnsiTheme="minorHAnsi" w:cstheme="minorHAnsi"/>
          <w:i/>
          <w:iCs/>
          <w:color w:val="FF0000"/>
          <w:szCs w:val="22"/>
        </w:rPr>
        <w:t>reproduzir</w:t>
      </w:r>
      <w:proofErr w:type="gramEnd"/>
      <w:r w:rsidRPr="00EE373C">
        <w:rPr>
          <w:rFonts w:asciiTheme="minorHAnsi" w:hAnsiTheme="minorHAnsi" w:cstheme="minorHAnsi"/>
          <w:i/>
          <w:iCs/>
          <w:color w:val="FF0000"/>
          <w:szCs w:val="22"/>
        </w:rPr>
        <w:t xml:space="preserve"> a planilha contendo a memória de cálculo dos preços obtidos pela Administração, podendo ainda anexá-la a este documento em processo eletrônico).</w:t>
      </w:r>
    </w:p>
    <w:p w14:paraId="148470C1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6"/>
          <w:szCs w:val="6"/>
        </w:rPr>
      </w:pPr>
    </w:p>
    <w:p w14:paraId="37E65E6D" w14:textId="03F58368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lastRenderedPageBreak/>
        <w:t xml:space="preserve">5.2. Após a realização de pesquisa de preços em conformidade com a </w:t>
      </w:r>
      <w:hyperlink r:id="rId18" w:history="1">
        <w:r w:rsidRPr="00EE373C">
          <w:rPr>
            <w:rStyle w:val="Hyperlink"/>
            <w:rFonts w:asciiTheme="minorHAnsi" w:hAnsiTheme="minorHAnsi" w:cstheme="minorHAnsi"/>
            <w:bCs/>
            <w:szCs w:val="22"/>
          </w:rPr>
          <w:t xml:space="preserve">IN </w:t>
        </w:r>
        <w:r w:rsidRPr="00EE373C">
          <w:rPr>
            <w:rStyle w:val="Hyperlink"/>
            <w:rFonts w:asciiTheme="minorHAnsi" w:hAnsiTheme="minorHAnsi" w:cstheme="minorHAnsi"/>
            <w:szCs w:val="22"/>
          </w:rPr>
          <w:t>SEGES/ME n° 65/2021</w:t>
        </w:r>
      </w:hyperlink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certifica-se que o preço estimado para a presente contratação é compatível com os praticados no mercado </w:t>
      </w:r>
      <w:r w:rsidRPr="00EE373C">
        <w:rPr>
          <w:rFonts w:asciiTheme="minorHAnsi" w:hAnsiTheme="minorHAnsi" w:cstheme="minorHAnsi"/>
          <w:color w:val="FF0000"/>
          <w:szCs w:val="22"/>
        </w:rPr>
        <w:t>[ou é vantajoso para a Administração</w:t>
      </w:r>
      <w:r w:rsidR="00877D01">
        <w:rPr>
          <w:rFonts w:asciiTheme="minorHAnsi" w:hAnsiTheme="minorHAnsi" w:cstheme="minorHAnsi"/>
          <w:color w:val="FF0000"/>
          <w:szCs w:val="22"/>
        </w:rPr>
        <w:t>].</w:t>
      </w:r>
    </w:p>
    <w:p w14:paraId="1BC14BEC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647"/>
      </w:tblGrid>
      <w:tr w:rsidR="00472E9F" w:rsidRPr="00EE373C" w14:paraId="74279D09" w14:textId="77777777">
        <w:trPr>
          <w:trHeight w:val="669"/>
        </w:trPr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A6BC8" w14:textId="77777777" w:rsidR="00472E9F" w:rsidRPr="00EE373C" w:rsidRDefault="00F5443C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8647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5C9B3" w14:textId="77777777" w:rsidR="00472E9F" w:rsidRPr="00EE373C" w:rsidRDefault="00F5443C">
            <w:pPr>
              <w:pStyle w:val="Textbody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 memória de cálculo do valor estimado com os critérios e parâmetros utilizados e os documentos que lhe dão suporte (planilhas, pesquisas na internet, </w:t>
            </w:r>
            <w:proofErr w:type="spellStart"/>
            <w:r w:rsidRPr="00EE373C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prints</w:t>
            </w:r>
            <w:proofErr w:type="spellEnd"/>
            <w:r w:rsidRPr="00EE373C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 tela, e-mails etc.) devem ser anexados ao processo, servindo de prova documental.</w:t>
            </w:r>
          </w:p>
        </w:tc>
      </w:tr>
    </w:tbl>
    <w:p w14:paraId="2EC04746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color w:val="FF0000"/>
          <w:sz w:val="23"/>
          <w:szCs w:val="23"/>
        </w:rPr>
      </w:pPr>
    </w:p>
    <w:p w14:paraId="217B1C94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color w:val="auto"/>
          <w:szCs w:val="22"/>
        </w:rPr>
      </w:pPr>
      <w:r w:rsidRPr="00EE373C">
        <w:rPr>
          <w:rFonts w:asciiTheme="minorHAnsi" w:hAnsiTheme="minorHAnsi" w:cstheme="minorHAnsi"/>
          <w:b/>
          <w:color w:val="auto"/>
          <w:szCs w:val="22"/>
        </w:rPr>
        <w:t>VI – Identificação dos agentes responsáveis pela pesquisa de preços</w:t>
      </w:r>
    </w:p>
    <w:p w14:paraId="0B040C92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3562F65C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6.1. A presente pesquisa de preços foi conduzida por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[nome do agente público]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matrícula nº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>.</w:t>
      </w:r>
    </w:p>
    <w:p w14:paraId="3091FF8A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6C051BFC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t>[Cidade], [data].</w:t>
      </w:r>
    </w:p>
    <w:p w14:paraId="1B0F7DFF" w14:textId="77777777" w:rsidR="00472E9F" w:rsidRPr="00EE373C" w:rsidRDefault="00472E9F">
      <w:pPr>
        <w:pStyle w:val="TableContents"/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3C616565" w14:textId="77777777" w:rsidR="00472E9F" w:rsidRPr="00EE373C" w:rsidRDefault="00472E9F">
      <w:pPr>
        <w:pStyle w:val="TableContents"/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7F7BB1A6" w14:textId="77777777" w:rsidR="00472E9F" w:rsidRPr="00EE373C" w:rsidRDefault="00472E9F">
      <w:pPr>
        <w:pStyle w:val="Default"/>
        <w:jc w:val="both"/>
        <w:rPr>
          <w:rFonts w:asciiTheme="minorHAnsi" w:hAnsiTheme="minorHAnsi" w:cstheme="minorHAnsi"/>
        </w:rPr>
      </w:pPr>
    </w:p>
    <w:p w14:paraId="475B24F7" w14:textId="77777777" w:rsidR="00472E9F" w:rsidRPr="00EE373C" w:rsidRDefault="00472E9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A5F4B8" w14:textId="77777777" w:rsidR="00472E9F" w:rsidRPr="00EE373C" w:rsidRDefault="00472E9F">
      <w:pPr>
        <w:pStyle w:val="Default"/>
        <w:rPr>
          <w:rFonts w:asciiTheme="minorHAnsi" w:hAnsiTheme="minorHAnsi" w:cstheme="minorHAnsi"/>
        </w:rPr>
      </w:pPr>
    </w:p>
    <w:sectPr w:rsidR="00472E9F" w:rsidRPr="00EE373C">
      <w:headerReference w:type="default" r:id="rId19"/>
      <w:pgSz w:w="11906" w:h="16838"/>
      <w:pgMar w:top="2719" w:right="1134" w:bottom="1134" w:left="1134" w:header="6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80E3" w14:textId="77777777" w:rsidR="00006916" w:rsidRDefault="00006916">
      <w:r>
        <w:separator/>
      </w:r>
    </w:p>
  </w:endnote>
  <w:endnote w:type="continuationSeparator" w:id="0">
    <w:p w14:paraId="00F59564" w14:textId="77777777" w:rsidR="00006916" w:rsidRDefault="0000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D6CDC" w14:textId="77777777" w:rsidR="00006916" w:rsidRDefault="00006916">
      <w:r>
        <w:rPr>
          <w:color w:val="000000"/>
        </w:rPr>
        <w:separator/>
      </w:r>
    </w:p>
  </w:footnote>
  <w:footnote w:type="continuationSeparator" w:id="0">
    <w:p w14:paraId="2FAD5284" w14:textId="77777777" w:rsidR="00006916" w:rsidRDefault="00006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64F37" w14:textId="748B8FB0" w:rsidR="00846ED6" w:rsidRDefault="00846ED6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12F41D" wp14:editId="19DDFEFB">
          <wp:simplePos x="0" y="0"/>
          <wp:positionH relativeFrom="column">
            <wp:posOffset>2816225</wp:posOffset>
          </wp:positionH>
          <wp:positionV relativeFrom="paragraph">
            <wp:posOffset>-46990</wp:posOffset>
          </wp:positionV>
          <wp:extent cx="581660" cy="617220"/>
          <wp:effectExtent l="0" t="0" r="0" b="0"/>
          <wp:wrapTopAndBottom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</w:rPr>
      <w:t>MINISTÉRIO DA EDUCAÇÃO</w:t>
    </w:r>
  </w:p>
  <w:p w14:paraId="2429E559" w14:textId="77777777" w:rsidR="00846ED6" w:rsidRDefault="00846ED6">
    <w:pPr>
      <w:pStyle w:val="Cabealho"/>
      <w:jc w:val="center"/>
      <w:rPr>
        <w:rFonts w:cs="Calibri"/>
      </w:rPr>
    </w:pPr>
    <w:r>
      <w:rPr>
        <w:rFonts w:cs="Calibri"/>
      </w:rPr>
      <w:t>CENTRO FEDERAL DE EDUCAÇÃO TECNOLÓGICA DE MINAS GERAIS</w:t>
    </w:r>
  </w:p>
  <w:p w14:paraId="3F693E36" w14:textId="77777777" w:rsidR="00846ED6" w:rsidRPr="00882D04" w:rsidRDefault="00846ED6" w:rsidP="00882D04">
    <w:pPr>
      <w:tabs>
        <w:tab w:val="center" w:pos="4252"/>
        <w:tab w:val="right" w:pos="8504"/>
      </w:tabs>
      <w:spacing w:line="276" w:lineRule="auto"/>
      <w:jc w:val="center"/>
      <w:rPr>
        <w:rFonts w:asciiTheme="minorHAnsi" w:eastAsia="Arial" w:hAnsiTheme="minorHAnsi" w:cstheme="minorHAnsi"/>
        <w:bCs/>
      </w:rPr>
    </w:pPr>
    <w:r w:rsidRPr="00882D04">
      <w:rPr>
        <w:rFonts w:asciiTheme="minorHAnsi" w:eastAsia="Arial" w:hAnsiTheme="minorHAnsi" w:cstheme="minorHAnsi"/>
        <w:bCs/>
      </w:rPr>
      <w:t>DIVISÃO DE AQUISIÇÃO DE BENS E SERVIÇOS</w:t>
    </w:r>
  </w:p>
  <w:p w14:paraId="7F6E430C" w14:textId="77777777" w:rsidR="00846ED6" w:rsidRDefault="00846ED6">
    <w:pPr>
      <w:pStyle w:val="Cabealho"/>
      <w:jc w:val="center"/>
      <w:rPr>
        <w:rFonts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26E"/>
    <w:multiLevelType w:val="multilevel"/>
    <w:tmpl w:val="89A27B86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587270"/>
    <w:multiLevelType w:val="multilevel"/>
    <w:tmpl w:val="103AF9F2"/>
    <w:styleLink w:val="WWOutlineListStyle1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79F1E33"/>
    <w:multiLevelType w:val="multilevel"/>
    <w:tmpl w:val="80E094CE"/>
    <w:styleLink w:val="WWOutlineListStyle2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7C53592"/>
    <w:multiLevelType w:val="multilevel"/>
    <w:tmpl w:val="D19E2B64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B543CF2"/>
    <w:multiLevelType w:val="multilevel"/>
    <w:tmpl w:val="BB067768"/>
    <w:styleLink w:val="WWOutlineListStyle2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BD94613"/>
    <w:multiLevelType w:val="multilevel"/>
    <w:tmpl w:val="119626CE"/>
    <w:styleLink w:val="WWOutlineListStyle4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15528BE"/>
    <w:multiLevelType w:val="multilevel"/>
    <w:tmpl w:val="543ABC30"/>
    <w:styleLink w:val="WWOutlineListStyle1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8936602"/>
    <w:multiLevelType w:val="multilevel"/>
    <w:tmpl w:val="60D6730C"/>
    <w:styleLink w:val="WWOutlineListStyle3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A992150"/>
    <w:multiLevelType w:val="multilevel"/>
    <w:tmpl w:val="3F1C6528"/>
    <w:styleLink w:val="WWOutlineListStyle3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BDD1399"/>
    <w:multiLevelType w:val="multilevel"/>
    <w:tmpl w:val="16AE865A"/>
    <w:styleLink w:val="WWOutlineListStyle3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D4A5E3F"/>
    <w:multiLevelType w:val="multilevel"/>
    <w:tmpl w:val="CCE2AD16"/>
    <w:styleLink w:val="Outlin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DD94CE7"/>
    <w:multiLevelType w:val="multilevel"/>
    <w:tmpl w:val="0C9CFB9E"/>
    <w:styleLink w:val="WWOutlineListStyle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E932BEF"/>
    <w:multiLevelType w:val="hybridMultilevel"/>
    <w:tmpl w:val="91143B44"/>
    <w:lvl w:ilvl="0" w:tplc="8E64F9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B102EE"/>
    <w:multiLevelType w:val="multilevel"/>
    <w:tmpl w:val="3F063580"/>
    <w:styleLink w:val="WWOutlineListStyle4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61113F3"/>
    <w:multiLevelType w:val="multilevel"/>
    <w:tmpl w:val="122A2E54"/>
    <w:styleLink w:val="WWOutlineListStyle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64728C9"/>
    <w:multiLevelType w:val="multilevel"/>
    <w:tmpl w:val="9E862B82"/>
    <w:styleLink w:val="WWOutlineListStyle4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8422F1F"/>
    <w:multiLevelType w:val="multilevel"/>
    <w:tmpl w:val="0AAE2E24"/>
    <w:styleLink w:val="WWOutlineListStyle1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791E85"/>
    <w:multiLevelType w:val="multilevel"/>
    <w:tmpl w:val="38022792"/>
    <w:styleLink w:val="WWOutlineListStyle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D4272CD"/>
    <w:multiLevelType w:val="multilevel"/>
    <w:tmpl w:val="E2C4F6DA"/>
    <w:styleLink w:val="WWOutlineListStyle2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08D5E72"/>
    <w:multiLevelType w:val="multilevel"/>
    <w:tmpl w:val="2E524A78"/>
    <w:styleLink w:val="WWOutlineListStyle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3AD2084"/>
    <w:multiLevelType w:val="multilevel"/>
    <w:tmpl w:val="2B6633DA"/>
    <w:styleLink w:val="WWOutlineListStyle2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67A3136"/>
    <w:multiLevelType w:val="hybridMultilevel"/>
    <w:tmpl w:val="24040080"/>
    <w:lvl w:ilvl="0" w:tplc="F2E4D3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AA56D6"/>
    <w:multiLevelType w:val="multilevel"/>
    <w:tmpl w:val="2746FEC8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7CA6E33"/>
    <w:multiLevelType w:val="multilevel"/>
    <w:tmpl w:val="E8607002"/>
    <w:styleLink w:val="WWOutlineListStyle2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B195F1F"/>
    <w:multiLevelType w:val="multilevel"/>
    <w:tmpl w:val="E8440814"/>
    <w:styleLink w:val="WWOutlineListStyle4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B5C6AD6"/>
    <w:multiLevelType w:val="multilevel"/>
    <w:tmpl w:val="E9C0165C"/>
    <w:lvl w:ilvl="0">
      <w:start w:val="1"/>
      <w:numFmt w:val="lowerLetter"/>
      <w:lvlText w:val="%1)"/>
      <w:lvlJc w:val="left"/>
      <w:pPr>
        <w:ind w:left="1069" w:hanging="360"/>
      </w:pPr>
      <w:rPr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52682C"/>
    <w:multiLevelType w:val="multilevel"/>
    <w:tmpl w:val="65C822FA"/>
    <w:styleLink w:val="WWOutlineListStyle4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CC3536C"/>
    <w:multiLevelType w:val="multilevel"/>
    <w:tmpl w:val="5CE2CF4C"/>
    <w:styleLink w:val="WWOutlineListStyl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D344481"/>
    <w:multiLevelType w:val="multilevel"/>
    <w:tmpl w:val="9E2EEFDA"/>
    <w:styleLink w:val="WWOutlineListStyle1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3D621B33"/>
    <w:multiLevelType w:val="multilevel"/>
    <w:tmpl w:val="5E4ACCD0"/>
    <w:styleLink w:val="WWOutlineListStyle3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1051CD0"/>
    <w:multiLevelType w:val="multilevel"/>
    <w:tmpl w:val="14E4B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2393C70"/>
    <w:multiLevelType w:val="multilevel"/>
    <w:tmpl w:val="A8624AEC"/>
    <w:styleLink w:val="WWOutlineListStyle3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42C66CE1"/>
    <w:multiLevelType w:val="multilevel"/>
    <w:tmpl w:val="A68E2F1E"/>
    <w:styleLink w:val="WWOutlineListStyle1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482035E8"/>
    <w:multiLevelType w:val="multilevel"/>
    <w:tmpl w:val="9274ED30"/>
    <w:styleLink w:val="WWOutlineListStyle1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483B4702"/>
    <w:multiLevelType w:val="multilevel"/>
    <w:tmpl w:val="BF5A54F2"/>
    <w:styleLink w:val="WWOutlineListStyle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4B4B33F2"/>
    <w:multiLevelType w:val="multilevel"/>
    <w:tmpl w:val="14A8D928"/>
    <w:styleLink w:val="WWOutlineListStyle4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4D8F29D4"/>
    <w:multiLevelType w:val="multilevel"/>
    <w:tmpl w:val="DCD8E0C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06C0EAD"/>
    <w:multiLevelType w:val="multilevel"/>
    <w:tmpl w:val="5C1AC7C0"/>
    <w:styleLink w:val="WWOutlineListStyle3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50B73634"/>
    <w:multiLevelType w:val="hybridMultilevel"/>
    <w:tmpl w:val="7DF81CA8"/>
    <w:lvl w:ilvl="0" w:tplc="F2E4D3D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C55CF6EE">
      <w:numFmt w:val="bullet"/>
      <w:lvlText w:val="•"/>
      <w:lvlJc w:val="left"/>
      <w:pPr>
        <w:ind w:left="1512" w:hanging="360"/>
      </w:pPr>
      <w:rPr>
        <w:rFonts w:ascii="Calibri" w:eastAsia="Noto Sans CJK SC Regular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53F2327C"/>
    <w:multiLevelType w:val="multilevel"/>
    <w:tmpl w:val="036EFBD4"/>
    <w:styleLink w:val="WWOutlineListStyle3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54D12739"/>
    <w:multiLevelType w:val="multilevel"/>
    <w:tmpl w:val="C17A01F8"/>
    <w:styleLink w:val="WWOutlineListStyle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56235118"/>
    <w:multiLevelType w:val="multilevel"/>
    <w:tmpl w:val="A3381AF4"/>
    <w:styleLink w:val="WWOutlineListStyle2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56E005C9"/>
    <w:multiLevelType w:val="multilevel"/>
    <w:tmpl w:val="63A66D26"/>
    <w:styleLink w:val="WWOutlineListStyle2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580A50A0"/>
    <w:multiLevelType w:val="hybridMultilevel"/>
    <w:tmpl w:val="06B0D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970979"/>
    <w:multiLevelType w:val="multilevel"/>
    <w:tmpl w:val="3CDE8F02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5CA031FE"/>
    <w:multiLevelType w:val="multilevel"/>
    <w:tmpl w:val="49E41354"/>
    <w:styleLink w:val="WWOutlineListStyle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5D0D06CB"/>
    <w:multiLevelType w:val="hybridMultilevel"/>
    <w:tmpl w:val="99EEA4BE"/>
    <w:lvl w:ilvl="0" w:tplc="4DB6CFDC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 w15:restartNumberingAfterBreak="0">
    <w:nsid w:val="5E507DCC"/>
    <w:multiLevelType w:val="multilevel"/>
    <w:tmpl w:val="85BE3F62"/>
    <w:styleLink w:val="WWOutlineListStyle3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60F02102"/>
    <w:multiLevelType w:val="multilevel"/>
    <w:tmpl w:val="1CB47A36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65EE32BF"/>
    <w:multiLevelType w:val="multilevel"/>
    <w:tmpl w:val="08BA03B6"/>
    <w:styleLink w:val="WWOutlineListStyle1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689C7064"/>
    <w:multiLevelType w:val="multilevel"/>
    <w:tmpl w:val="F76A2A12"/>
    <w:styleLink w:val="WWOutlineListStyle4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6D38518A"/>
    <w:multiLevelType w:val="multilevel"/>
    <w:tmpl w:val="CC86BC48"/>
    <w:styleLink w:val="WWOutlineListStyle50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2" w15:restartNumberingAfterBreak="0">
    <w:nsid w:val="6DB9232D"/>
    <w:multiLevelType w:val="multilevel"/>
    <w:tmpl w:val="39F25FA8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7034511A"/>
    <w:multiLevelType w:val="multilevel"/>
    <w:tmpl w:val="13FE5DD8"/>
    <w:styleLink w:val="WWOutlineListStyle1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71157FD7"/>
    <w:multiLevelType w:val="multilevel"/>
    <w:tmpl w:val="64660578"/>
    <w:styleLink w:val="WWOutlineListStyle4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73A007C2"/>
    <w:multiLevelType w:val="multilevel"/>
    <w:tmpl w:val="ACD63DB6"/>
    <w:styleLink w:val="WWOutlineListStyle3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7BB75D65"/>
    <w:multiLevelType w:val="multilevel"/>
    <w:tmpl w:val="8406584E"/>
    <w:styleLink w:val="WWOutlineListStyle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7BFA6BBE"/>
    <w:multiLevelType w:val="multilevel"/>
    <w:tmpl w:val="370889FA"/>
    <w:styleLink w:val="WWOutlineListStyle3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7C006BBB"/>
    <w:multiLevelType w:val="multilevel"/>
    <w:tmpl w:val="7D360ACE"/>
    <w:styleLink w:val="WWOutlineListStyle1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7D2C5FA8"/>
    <w:multiLevelType w:val="multilevel"/>
    <w:tmpl w:val="F6D00B28"/>
    <w:styleLink w:val="WWOutlineListStyle1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7F1C344D"/>
    <w:multiLevelType w:val="multilevel"/>
    <w:tmpl w:val="53CAEE42"/>
    <w:styleLink w:val="WWOutlineListStyle2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1"/>
  </w:num>
  <w:num w:numId="2">
    <w:abstractNumId w:val="34"/>
  </w:num>
  <w:num w:numId="3">
    <w:abstractNumId w:val="13"/>
  </w:num>
  <w:num w:numId="4">
    <w:abstractNumId w:val="54"/>
  </w:num>
  <w:num w:numId="5">
    <w:abstractNumId w:val="14"/>
  </w:num>
  <w:num w:numId="6">
    <w:abstractNumId w:val="50"/>
  </w:num>
  <w:num w:numId="7">
    <w:abstractNumId w:val="24"/>
  </w:num>
  <w:num w:numId="8">
    <w:abstractNumId w:val="15"/>
  </w:num>
  <w:num w:numId="9">
    <w:abstractNumId w:val="35"/>
  </w:num>
  <w:num w:numId="10">
    <w:abstractNumId w:val="26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37"/>
  </w:num>
  <w:num w:numId="16">
    <w:abstractNumId w:val="31"/>
  </w:num>
  <w:num w:numId="17">
    <w:abstractNumId w:val="39"/>
  </w:num>
  <w:num w:numId="18">
    <w:abstractNumId w:val="29"/>
  </w:num>
  <w:num w:numId="19">
    <w:abstractNumId w:val="57"/>
  </w:num>
  <w:num w:numId="20">
    <w:abstractNumId w:val="55"/>
  </w:num>
  <w:num w:numId="21">
    <w:abstractNumId w:val="47"/>
  </w:num>
  <w:num w:numId="22">
    <w:abstractNumId w:val="60"/>
  </w:num>
  <w:num w:numId="23">
    <w:abstractNumId w:val="2"/>
  </w:num>
  <w:num w:numId="24">
    <w:abstractNumId w:val="4"/>
  </w:num>
  <w:num w:numId="25">
    <w:abstractNumId w:val="19"/>
  </w:num>
  <w:num w:numId="26">
    <w:abstractNumId w:val="20"/>
  </w:num>
  <w:num w:numId="27">
    <w:abstractNumId w:val="41"/>
  </w:num>
  <w:num w:numId="28">
    <w:abstractNumId w:val="23"/>
  </w:num>
  <w:num w:numId="29">
    <w:abstractNumId w:val="18"/>
  </w:num>
  <w:num w:numId="30">
    <w:abstractNumId w:val="42"/>
  </w:num>
  <w:num w:numId="31">
    <w:abstractNumId w:val="45"/>
  </w:num>
  <w:num w:numId="32">
    <w:abstractNumId w:val="59"/>
  </w:num>
  <w:num w:numId="33">
    <w:abstractNumId w:val="16"/>
  </w:num>
  <w:num w:numId="34">
    <w:abstractNumId w:val="28"/>
  </w:num>
  <w:num w:numId="35">
    <w:abstractNumId w:val="6"/>
  </w:num>
  <w:num w:numId="36">
    <w:abstractNumId w:val="1"/>
  </w:num>
  <w:num w:numId="37">
    <w:abstractNumId w:val="32"/>
  </w:num>
  <w:num w:numId="38">
    <w:abstractNumId w:val="58"/>
  </w:num>
  <w:num w:numId="39">
    <w:abstractNumId w:val="53"/>
  </w:num>
  <w:num w:numId="40">
    <w:abstractNumId w:val="33"/>
  </w:num>
  <w:num w:numId="41">
    <w:abstractNumId w:val="49"/>
  </w:num>
  <w:num w:numId="42">
    <w:abstractNumId w:val="40"/>
  </w:num>
  <w:num w:numId="43">
    <w:abstractNumId w:val="56"/>
  </w:num>
  <w:num w:numId="44">
    <w:abstractNumId w:val="11"/>
  </w:num>
  <w:num w:numId="45">
    <w:abstractNumId w:val="27"/>
  </w:num>
  <w:num w:numId="46">
    <w:abstractNumId w:val="17"/>
  </w:num>
  <w:num w:numId="47">
    <w:abstractNumId w:val="22"/>
  </w:num>
  <w:num w:numId="48">
    <w:abstractNumId w:val="48"/>
  </w:num>
  <w:num w:numId="49">
    <w:abstractNumId w:val="52"/>
  </w:num>
  <w:num w:numId="50">
    <w:abstractNumId w:val="3"/>
  </w:num>
  <w:num w:numId="51">
    <w:abstractNumId w:val="0"/>
  </w:num>
  <w:num w:numId="52">
    <w:abstractNumId w:val="10"/>
  </w:num>
  <w:num w:numId="53">
    <w:abstractNumId w:val="44"/>
  </w:num>
  <w:num w:numId="54">
    <w:abstractNumId w:val="36"/>
  </w:num>
  <w:num w:numId="55">
    <w:abstractNumId w:val="30"/>
  </w:num>
  <w:num w:numId="56">
    <w:abstractNumId w:val="38"/>
  </w:num>
  <w:num w:numId="57">
    <w:abstractNumId w:val="21"/>
  </w:num>
  <w:num w:numId="58">
    <w:abstractNumId w:val="12"/>
  </w:num>
  <w:num w:numId="59">
    <w:abstractNumId w:val="46"/>
  </w:num>
  <w:num w:numId="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9F"/>
    <w:rsid w:val="00006916"/>
    <w:rsid w:val="000108F6"/>
    <w:rsid w:val="00021512"/>
    <w:rsid w:val="0004446E"/>
    <w:rsid w:val="00047F56"/>
    <w:rsid w:val="00072BCA"/>
    <w:rsid w:val="000B0B14"/>
    <w:rsid w:val="000D62D8"/>
    <w:rsid w:val="00163C3F"/>
    <w:rsid w:val="00176A9D"/>
    <w:rsid w:val="00181F63"/>
    <w:rsid w:val="00182F94"/>
    <w:rsid w:val="001B41C1"/>
    <w:rsid w:val="001D0B75"/>
    <w:rsid w:val="001F5D15"/>
    <w:rsid w:val="001F6167"/>
    <w:rsid w:val="0020092D"/>
    <w:rsid w:val="002136E2"/>
    <w:rsid w:val="00250445"/>
    <w:rsid w:val="002626E3"/>
    <w:rsid w:val="00281980"/>
    <w:rsid w:val="002A5472"/>
    <w:rsid w:val="002B00BE"/>
    <w:rsid w:val="002E0128"/>
    <w:rsid w:val="002F2C8B"/>
    <w:rsid w:val="00302147"/>
    <w:rsid w:val="00303701"/>
    <w:rsid w:val="0030687D"/>
    <w:rsid w:val="00326F01"/>
    <w:rsid w:val="00327194"/>
    <w:rsid w:val="003C212E"/>
    <w:rsid w:val="003D35BA"/>
    <w:rsid w:val="003F0948"/>
    <w:rsid w:val="004237B3"/>
    <w:rsid w:val="004624CE"/>
    <w:rsid w:val="0046578D"/>
    <w:rsid w:val="004667AF"/>
    <w:rsid w:val="00470AA6"/>
    <w:rsid w:val="00472E9F"/>
    <w:rsid w:val="0049270D"/>
    <w:rsid w:val="004A0753"/>
    <w:rsid w:val="004C4B6C"/>
    <w:rsid w:val="004E2F9F"/>
    <w:rsid w:val="00561FD8"/>
    <w:rsid w:val="005841CB"/>
    <w:rsid w:val="005B4F1C"/>
    <w:rsid w:val="005F1AA8"/>
    <w:rsid w:val="005F6AE6"/>
    <w:rsid w:val="006030ED"/>
    <w:rsid w:val="00610349"/>
    <w:rsid w:val="00624B93"/>
    <w:rsid w:val="00644F55"/>
    <w:rsid w:val="00673A0D"/>
    <w:rsid w:val="00675D8F"/>
    <w:rsid w:val="00690C81"/>
    <w:rsid w:val="006A0FAE"/>
    <w:rsid w:val="006B4A8B"/>
    <w:rsid w:val="006C273A"/>
    <w:rsid w:val="006E5350"/>
    <w:rsid w:val="006E7FF9"/>
    <w:rsid w:val="007251F3"/>
    <w:rsid w:val="00731421"/>
    <w:rsid w:val="0073148B"/>
    <w:rsid w:val="007453EB"/>
    <w:rsid w:val="0075325F"/>
    <w:rsid w:val="0075611F"/>
    <w:rsid w:val="007A1FAC"/>
    <w:rsid w:val="007B3FDA"/>
    <w:rsid w:val="007B54D9"/>
    <w:rsid w:val="007F0EFE"/>
    <w:rsid w:val="007F32CA"/>
    <w:rsid w:val="00814BF7"/>
    <w:rsid w:val="008159D5"/>
    <w:rsid w:val="008217A4"/>
    <w:rsid w:val="008271C2"/>
    <w:rsid w:val="00833A5C"/>
    <w:rsid w:val="00840781"/>
    <w:rsid w:val="00846ED6"/>
    <w:rsid w:val="008656C1"/>
    <w:rsid w:val="00877D01"/>
    <w:rsid w:val="00882D04"/>
    <w:rsid w:val="008955A8"/>
    <w:rsid w:val="008A7A50"/>
    <w:rsid w:val="008D313D"/>
    <w:rsid w:val="008D5272"/>
    <w:rsid w:val="008F78AD"/>
    <w:rsid w:val="00955C92"/>
    <w:rsid w:val="009655A3"/>
    <w:rsid w:val="00980D54"/>
    <w:rsid w:val="0098694C"/>
    <w:rsid w:val="009D11DC"/>
    <w:rsid w:val="009D578D"/>
    <w:rsid w:val="00A118F6"/>
    <w:rsid w:val="00A1475F"/>
    <w:rsid w:val="00A177B3"/>
    <w:rsid w:val="00A30C6C"/>
    <w:rsid w:val="00A940FB"/>
    <w:rsid w:val="00AA0DA7"/>
    <w:rsid w:val="00AA100A"/>
    <w:rsid w:val="00AA3C09"/>
    <w:rsid w:val="00AB4546"/>
    <w:rsid w:val="00B01121"/>
    <w:rsid w:val="00B52A6C"/>
    <w:rsid w:val="00B5672B"/>
    <w:rsid w:val="00B61087"/>
    <w:rsid w:val="00B67C27"/>
    <w:rsid w:val="00B83529"/>
    <w:rsid w:val="00B962A6"/>
    <w:rsid w:val="00BB2A4F"/>
    <w:rsid w:val="00BD2133"/>
    <w:rsid w:val="00BD3B1D"/>
    <w:rsid w:val="00BD42BA"/>
    <w:rsid w:val="00BD6D31"/>
    <w:rsid w:val="00BF1847"/>
    <w:rsid w:val="00C20454"/>
    <w:rsid w:val="00C20F7E"/>
    <w:rsid w:val="00C22130"/>
    <w:rsid w:val="00C22F23"/>
    <w:rsid w:val="00C96588"/>
    <w:rsid w:val="00CA6B82"/>
    <w:rsid w:val="00CB46A4"/>
    <w:rsid w:val="00CC47B0"/>
    <w:rsid w:val="00CC6606"/>
    <w:rsid w:val="00CE6FEC"/>
    <w:rsid w:val="00CF50FB"/>
    <w:rsid w:val="00D05E04"/>
    <w:rsid w:val="00D26BC4"/>
    <w:rsid w:val="00D403C5"/>
    <w:rsid w:val="00D44DBB"/>
    <w:rsid w:val="00D87E89"/>
    <w:rsid w:val="00DC336C"/>
    <w:rsid w:val="00DF05D7"/>
    <w:rsid w:val="00E12911"/>
    <w:rsid w:val="00E3485F"/>
    <w:rsid w:val="00E4578C"/>
    <w:rsid w:val="00E552EB"/>
    <w:rsid w:val="00E662C3"/>
    <w:rsid w:val="00E707A0"/>
    <w:rsid w:val="00E75F46"/>
    <w:rsid w:val="00EB45D6"/>
    <w:rsid w:val="00EC0D89"/>
    <w:rsid w:val="00EC6CE9"/>
    <w:rsid w:val="00ED7252"/>
    <w:rsid w:val="00EE373C"/>
    <w:rsid w:val="00EE39B7"/>
    <w:rsid w:val="00EE47AD"/>
    <w:rsid w:val="00EF18BA"/>
    <w:rsid w:val="00EF4F91"/>
    <w:rsid w:val="00F36518"/>
    <w:rsid w:val="00F42017"/>
    <w:rsid w:val="00F42D1C"/>
    <w:rsid w:val="00F45963"/>
    <w:rsid w:val="00F5443C"/>
    <w:rsid w:val="00F54943"/>
    <w:rsid w:val="00F61920"/>
    <w:rsid w:val="00F64EE6"/>
    <w:rsid w:val="00F703B6"/>
    <w:rsid w:val="00F76B88"/>
    <w:rsid w:val="00FA40BA"/>
    <w:rsid w:val="00FC68CB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3080D"/>
  <w15:docId w15:val="{8F13AE55-8D8F-458C-B9E1-7C117CB8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oto Sans CJK SC Regular" w:hAnsi="Calibri" w:cs="Free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uiPriority w:val="9"/>
    <w:qFormat/>
    <w:pPr>
      <w:numPr>
        <w:numId w:val="1"/>
      </w:numPr>
      <w:outlineLvl w:val="0"/>
    </w:pPr>
    <w:rPr>
      <w:b/>
      <w:bCs/>
      <w:caps/>
    </w:rPr>
  </w:style>
  <w:style w:type="paragraph" w:styleId="Ttulo2">
    <w:name w:val="heading 2"/>
    <w:basedOn w:val="Heading"/>
    <w:next w:val="Textbody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caps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spacing w:before="40" w:after="40"/>
      <w:outlineLvl w:val="4"/>
    </w:pPr>
    <w:rPr>
      <w:rFonts w:ascii="Verdana" w:eastAsia="Verdana" w:hAnsi="Verdana" w:cs="Verdana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50">
    <w:name w:val="WW_OutlineListStyle_50"/>
    <w:basedOn w:val="Semlista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19"/>
      <w:ind w:firstLine="850"/>
      <w:jc w:val="both"/>
    </w:pPr>
    <w:rPr>
      <w:color w:val="000000"/>
      <w:sz w:val="22"/>
    </w:rPr>
  </w:style>
  <w:style w:type="paragraph" w:styleId="Lista">
    <w:name w:val="List"/>
    <w:basedOn w:val="Textbody"/>
    <w:rPr>
      <w:rFonts w:eastAsia="Calib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rmulrio-campo">
    <w:name w:val="Formulário - campo"/>
    <w:pPr>
      <w:suppressAutoHyphens/>
      <w:autoSpaceDN w:val="0"/>
      <w:textAlignment w:val="baseline"/>
    </w:pPr>
    <w:rPr>
      <w:caps/>
      <w:kern w:val="3"/>
      <w:sz w:val="22"/>
      <w:szCs w:val="24"/>
      <w:lang w:eastAsia="zh-CN" w:bidi="hi-IN"/>
    </w:rPr>
  </w:style>
  <w:style w:type="paragraph" w:customStyle="1" w:styleId="Formulrio-ajuda">
    <w:name w:val="Formulário - ajuda"/>
    <w:pPr>
      <w:suppressAutoHyphens/>
      <w:autoSpaceDN w:val="0"/>
      <w:textAlignment w:val="baseline"/>
    </w:pPr>
    <w:rPr>
      <w:color w:val="0000CC"/>
      <w:kern w:val="3"/>
      <w:sz w:val="21"/>
      <w:szCs w:val="24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styleId="Cabealho">
    <w:name w:val="header"/>
    <w:basedOn w:val="Standard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dexLink">
    <w:name w:val="Index Link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20z0">
    <w:name w:val="WW8Num20z0"/>
    <w:rPr>
      <w:rFonts w:ascii="Symbol" w:eastAsia="Symbol" w:hAnsi="Symbol" w:cs="Symbol"/>
      <w:sz w:val="20"/>
      <w:szCs w:val="20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uiPriority w:val="99"/>
    <w:rPr>
      <w:color w:val="0563C1"/>
      <w:u w:val="single"/>
    </w:rPr>
  </w:style>
  <w:style w:type="character" w:styleId="HiperlinkVisitado">
    <w:name w:val="FollowedHyperlink"/>
    <w:rPr>
      <w:color w:val="954F72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rPr>
      <w:rFonts w:cs="Mangal"/>
      <w:szCs w:val="21"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/>
    <w:uiPriority w:val="39"/>
    <w:pPr>
      <w:spacing w:after="100"/>
      <w:ind w:left="240"/>
    </w:pPr>
    <w:rPr>
      <w:rFonts w:cs="Mangal"/>
      <w:szCs w:val="21"/>
    </w:rPr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rPr>
      <w:rFonts w:ascii="Segoe UI" w:hAnsi="Segoe UI" w:cs="Mangal"/>
      <w:sz w:val="18"/>
      <w:szCs w:val="16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styleId="TextodoEspaoReservado">
    <w:name w:val="Placeholder Text"/>
    <w:rPr>
      <w:color w:val="808080"/>
    </w:rPr>
  </w:style>
  <w:style w:type="paragraph" w:customStyle="1" w:styleId="Default">
    <w:name w:val="Default"/>
    <w:pPr>
      <w:autoSpaceDE w:val="0"/>
      <w:autoSpaceDN w:val="0"/>
    </w:pPr>
    <w:rPr>
      <w:rFonts w:cs="Calibri"/>
      <w:color w:val="000000"/>
      <w:sz w:val="24"/>
      <w:szCs w:val="24"/>
      <w:lang w:eastAsia="zh-CN"/>
    </w:rPr>
  </w:style>
  <w:style w:type="paragraph" w:styleId="SemEspaamento">
    <w:name w:val="No Spacing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styleId="Refdecomentrio">
    <w:name w:val="annotation reference"/>
    <w:uiPriority w:val="99"/>
    <w:rPr>
      <w:sz w:val="16"/>
      <w:szCs w:val="16"/>
    </w:rPr>
  </w:style>
  <w:style w:type="paragraph" w:styleId="Textodecomentrio">
    <w:name w:val="annotation text"/>
    <w:basedOn w:val="Normal"/>
    <w:uiPriority w:val="99"/>
    <w:qFormat/>
    <w:rPr>
      <w:rFonts w:cs="Mangal"/>
      <w:sz w:val="20"/>
      <w:szCs w:val="18"/>
    </w:rPr>
  </w:style>
  <w:style w:type="character" w:customStyle="1" w:styleId="TextodecomentrioChar">
    <w:name w:val="Texto de comentário Char"/>
    <w:uiPriority w:val="99"/>
    <w:qFormat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cs="Mangal"/>
      <w:b/>
      <w:bCs/>
      <w:sz w:val="20"/>
      <w:szCs w:val="18"/>
    </w:rPr>
  </w:style>
  <w:style w:type="paragraph" w:styleId="Reviso">
    <w:name w:val="Revision"/>
    <w:pPr>
      <w:autoSpaceDN w:val="0"/>
    </w:pPr>
    <w:rPr>
      <w:rFonts w:cs="Mangal"/>
      <w:kern w:val="3"/>
      <w:sz w:val="24"/>
      <w:szCs w:val="21"/>
      <w:lang w:eastAsia="zh-CN" w:bidi="hi-IN"/>
    </w:rPr>
  </w:style>
  <w:style w:type="numbering" w:customStyle="1" w:styleId="WWOutlineListStyle48">
    <w:name w:val="WW_OutlineListStyle_48"/>
    <w:basedOn w:val="Semlista"/>
    <w:pPr>
      <w:numPr>
        <w:numId w:val="2"/>
      </w:numPr>
    </w:pPr>
  </w:style>
  <w:style w:type="numbering" w:customStyle="1" w:styleId="WWOutlineListStyle49">
    <w:name w:val="WW_OutlineListStyle_49"/>
    <w:basedOn w:val="Semlista"/>
    <w:pPr>
      <w:numPr>
        <w:numId w:val="3"/>
      </w:numPr>
    </w:pPr>
  </w:style>
  <w:style w:type="numbering" w:customStyle="1" w:styleId="WWOutlineListStyle47">
    <w:name w:val="WW_OutlineListStyle_47"/>
    <w:basedOn w:val="Semlista"/>
    <w:pPr>
      <w:numPr>
        <w:numId w:val="4"/>
      </w:numPr>
    </w:pPr>
  </w:style>
  <w:style w:type="numbering" w:customStyle="1" w:styleId="WWOutlineListStyle46">
    <w:name w:val="WW_OutlineListStyle_46"/>
    <w:basedOn w:val="Semlista"/>
    <w:pPr>
      <w:numPr>
        <w:numId w:val="5"/>
      </w:numPr>
    </w:pPr>
  </w:style>
  <w:style w:type="numbering" w:customStyle="1" w:styleId="WWOutlineListStyle45">
    <w:name w:val="WW_OutlineListStyle_45"/>
    <w:basedOn w:val="Semlista"/>
    <w:pPr>
      <w:numPr>
        <w:numId w:val="6"/>
      </w:numPr>
    </w:pPr>
  </w:style>
  <w:style w:type="numbering" w:customStyle="1" w:styleId="WWOutlineListStyle44">
    <w:name w:val="WW_OutlineListStyle_44"/>
    <w:basedOn w:val="Semlista"/>
    <w:pPr>
      <w:numPr>
        <w:numId w:val="7"/>
      </w:numPr>
    </w:pPr>
  </w:style>
  <w:style w:type="numbering" w:customStyle="1" w:styleId="WWOutlineListStyle43">
    <w:name w:val="WW_OutlineListStyle_43"/>
    <w:basedOn w:val="Semlista"/>
    <w:pPr>
      <w:numPr>
        <w:numId w:val="8"/>
      </w:numPr>
    </w:pPr>
  </w:style>
  <w:style w:type="numbering" w:customStyle="1" w:styleId="WWOutlineListStyle42">
    <w:name w:val="WW_OutlineListStyle_42"/>
    <w:basedOn w:val="Semlista"/>
    <w:pPr>
      <w:numPr>
        <w:numId w:val="9"/>
      </w:numPr>
    </w:pPr>
  </w:style>
  <w:style w:type="numbering" w:customStyle="1" w:styleId="WWOutlineListStyle41">
    <w:name w:val="WW_OutlineListStyle_41"/>
    <w:basedOn w:val="Semlista"/>
    <w:pPr>
      <w:numPr>
        <w:numId w:val="10"/>
      </w:numPr>
    </w:pPr>
  </w:style>
  <w:style w:type="numbering" w:customStyle="1" w:styleId="WWOutlineListStyle40">
    <w:name w:val="WW_OutlineListStyle_40"/>
    <w:basedOn w:val="Semlista"/>
    <w:pPr>
      <w:numPr>
        <w:numId w:val="11"/>
      </w:numPr>
    </w:pPr>
  </w:style>
  <w:style w:type="numbering" w:customStyle="1" w:styleId="WWOutlineListStyle39">
    <w:name w:val="WW_OutlineListStyle_39"/>
    <w:basedOn w:val="Semlista"/>
    <w:pPr>
      <w:numPr>
        <w:numId w:val="12"/>
      </w:numPr>
    </w:pPr>
  </w:style>
  <w:style w:type="numbering" w:customStyle="1" w:styleId="WWOutlineListStyle38">
    <w:name w:val="WW_OutlineListStyle_38"/>
    <w:basedOn w:val="Semlista"/>
    <w:pPr>
      <w:numPr>
        <w:numId w:val="13"/>
      </w:numPr>
    </w:pPr>
  </w:style>
  <w:style w:type="numbering" w:customStyle="1" w:styleId="WWOutlineListStyle37">
    <w:name w:val="WW_OutlineListStyle_37"/>
    <w:basedOn w:val="Semlista"/>
    <w:pPr>
      <w:numPr>
        <w:numId w:val="14"/>
      </w:numPr>
    </w:pPr>
  </w:style>
  <w:style w:type="numbering" w:customStyle="1" w:styleId="WWOutlineListStyle36">
    <w:name w:val="WW_OutlineListStyle_36"/>
    <w:basedOn w:val="Semlista"/>
    <w:pPr>
      <w:numPr>
        <w:numId w:val="15"/>
      </w:numPr>
    </w:pPr>
  </w:style>
  <w:style w:type="numbering" w:customStyle="1" w:styleId="WWOutlineListStyle35">
    <w:name w:val="WW_OutlineListStyle_35"/>
    <w:basedOn w:val="Semlista"/>
    <w:pPr>
      <w:numPr>
        <w:numId w:val="16"/>
      </w:numPr>
    </w:pPr>
  </w:style>
  <w:style w:type="numbering" w:customStyle="1" w:styleId="WWOutlineListStyle34">
    <w:name w:val="WW_OutlineListStyle_34"/>
    <w:basedOn w:val="Semlista"/>
    <w:pPr>
      <w:numPr>
        <w:numId w:val="17"/>
      </w:numPr>
    </w:pPr>
  </w:style>
  <w:style w:type="numbering" w:customStyle="1" w:styleId="WWOutlineListStyle33">
    <w:name w:val="WW_OutlineListStyle_33"/>
    <w:basedOn w:val="Semlista"/>
    <w:pPr>
      <w:numPr>
        <w:numId w:val="18"/>
      </w:numPr>
    </w:pPr>
  </w:style>
  <w:style w:type="numbering" w:customStyle="1" w:styleId="WWOutlineListStyle32">
    <w:name w:val="WW_OutlineListStyle_32"/>
    <w:basedOn w:val="Semlista"/>
    <w:pPr>
      <w:numPr>
        <w:numId w:val="19"/>
      </w:numPr>
    </w:pPr>
  </w:style>
  <w:style w:type="numbering" w:customStyle="1" w:styleId="WWOutlineListStyle31">
    <w:name w:val="WW_OutlineListStyle_31"/>
    <w:basedOn w:val="Semlista"/>
    <w:pPr>
      <w:numPr>
        <w:numId w:val="20"/>
      </w:numPr>
    </w:pPr>
  </w:style>
  <w:style w:type="numbering" w:customStyle="1" w:styleId="WWOutlineListStyle30">
    <w:name w:val="WW_OutlineListStyle_30"/>
    <w:basedOn w:val="Semlista"/>
    <w:pPr>
      <w:numPr>
        <w:numId w:val="21"/>
      </w:numPr>
    </w:pPr>
  </w:style>
  <w:style w:type="numbering" w:customStyle="1" w:styleId="WWOutlineListStyle29">
    <w:name w:val="WW_OutlineListStyle_29"/>
    <w:basedOn w:val="Semlista"/>
    <w:pPr>
      <w:numPr>
        <w:numId w:val="22"/>
      </w:numPr>
    </w:pPr>
  </w:style>
  <w:style w:type="numbering" w:customStyle="1" w:styleId="WWOutlineListStyle28">
    <w:name w:val="WW_OutlineListStyle_28"/>
    <w:basedOn w:val="Semlista"/>
    <w:pPr>
      <w:numPr>
        <w:numId w:val="23"/>
      </w:numPr>
    </w:pPr>
  </w:style>
  <w:style w:type="numbering" w:customStyle="1" w:styleId="WWOutlineListStyle27">
    <w:name w:val="WW_OutlineListStyle_27"/>
    <w:basedOn w:val="Semlista"/>
    <w:pPr>
      <w:numPr>
        <w:numId w:val="24"/>
      </w:numPr>
    </w:pPr>
  </w:style>
  <w:style w:type="numbering" w:customStyle="1" w:styleId="WWOutlineListStyle26">
    <w:name w:val="WW_OutlineListStyle_26"/>
    <w:basedOn w:val="Semlista"/>
    <w:pPr>
      <w:numPr>
        <w:numId w:val="25"/>
      </w:numPr>
    </w:pPr>
  </w:style>
  <w:style w:type="numbering" w:customStyle="1" w:styleId="WWOutlineListStyle25">
    <w:name w:val="WW_OutlineListStyle_25"/>
    <w:basedOn w:val="Semlista"/>
    <w:pPr>
      <w:numPr>
        <w:numId w:val="26"/>
      </w:numPr>
    </w:pPr>
  </w:style>
  <w:style w:type="numbering" w:customStyle="1" w:styleId="WWOutlineListStyle24">
    <w:name w:val="WW_OutlineListStyle_24"/>
    <w:basedOn w:val="Semlista"/>
    <w:pPr>
      <w:numPr>
        <w:numId w:val="27"/>
      </w:numPr>
    </w:pPr>
  </w:style>
  <w:style w:type="numbering" w:customStyle="1" w:styleId="WWOutlineListStyle23">
    <w:name w:val="WW_OutlineListStyle_23"/>
    <w:basedOn w:val="Semlista"/>
    <w:pPr>
      <w:numPr>
        <w:numId w:val="28"/>
      </w:numPr>
    </w:pPr>
  </w:style>
  <w:style w:type="numbering" w:customStyle="1" w:styleId="WWOutlineListStyle22">
    <w:name w:val="WW_OutlineListStyle_22"/>
    <w:basedOn w:val="Semlista"/>
    <w:pPr>
      <w:numPr>
        <w:numId w:val="29"/>
      </w:numPr>
    </w:pPr>
  </w:style>
  <w:style w:type="numbering" w:customStyle="1" w:styleId="WWOutlineListStyle21">
    <w:name w:val="WW_OutlineListStyle_21"/>
    <w:basedOn w:val="Semlista"/>
    <w:pPr>
      <w:numPr>
        <w:numId w:val="30"/>
      </w:numPr>
    </w:pPr>
  </w:style>
  <w:style w:type="numbering" w:customStyle="1" w:styleId="WWOutlineListStyle20">
    <w:name w:val="WW_OutlineListStyle_20"/>
    <w:basedOn w:val="Semlista"/>
    <w:pPr>
      <w:numPr>
        <w:numId w:val="31"/>
      </w:numPr>
    </w:pPr>
  </w:style>
  <w:style w:type="numbering" w:customStyle="1" w:styleId="WWOutlineListStyle19">
    <w:name w:val="WW_OutlineListStyle_19"/>
    <w:basedOn w:val="Semlista"/>
    <w:pPr>
      <w:numPr>
        <w:numId w:val="32"/>
      </w:numPr>
    </w:pPr>
  </w:style>
  <w:style w:type="numbering" w:customStyle="1" w:styleId="WWOutlineListStyle18">
    <w:name w:val="WW_OutlineListStyle_18"/>
    <w:basedOn w:val="Semlista"/>
    <w:pPr>
      <w:numPr>
        <w:numId w:val="33"/>
      </w:numPr>
    </w:pPr>
  </w:style>
  <w:style w:type="numbering" w:customStyle="1" w:styleId="WWOutlineListStyle17">
    <w:name w:val="WW_OutlineListStyle_17"/>
    <w:basedOn w:val="Semlista"/>
    <w:pPr>
      <w:numPr>
        <w:numId w:val="34"/>
      </w:numPr>
    </w:pPr>
  </w:style>
  <w:style w:type="numbering" w:customStyle="1" w:styleId="WWOutlineListStyle16">
    <w:name w:val="WW_OutlineListStyle_16"/>
    <w:basedOn w:val="Semlista"/>
    <w:pPr>
      <w:numPr>
        <w:numId w:val="35"/>
      </w:numPr>
    </w:pPr>
  </w:style>
  <w:style w:type="numbering" w:customStyle="1" w:styleId="WWOutlineListStyle15">
    <w:name w:val="WW_OutlineListStyle_15"/>
    <w:basedOn w:val="Semlista"/>
    <w:pPr>
      <w:numPr>
        <w:numId w:val="36"/>
      </w:numPr>
    </w:pPr>
  </w:style>
  <w:style w:type="numbering" w:customStyle="1" w:styleId="WWOutlineListStyle14">
    <w:name w:val="WW_OutlineListStyle_14"/>
    <w:basedOn w:val="Semlista"/>
    <w:pPr>
      <w:numPr>
        <w:numId w:val="37"/>
      </w:numPr>
    </w:pPr>
  </w:style>
  <w:style w:type="numbering" w:customStyle="1" w:styleId="WWOutlineListStyle13">
    <w:name w:val="WW_OutlineListStyle_13"/>
    <w:basedOn w:val="Semlista"/>
    <w:pPr>
      <w:numPr>
        <w:numId w:val="38"/>
      </w:numPr>
    </w:pPr>
  </w:style>
  <w:style w:type="numbering" w:customStyle="1" w:styleId="WWOutlineListStyle12">
    <w:name w:val="WW_OutlineListStyle_12"/>
    <w:basedOn w:val="Semlista"/>
    <w:pPr>
      <w:numPr>
        <w:numId w:val="39"/>
      </w:numPr>
    </w:pPr>
  </w:style>
  <w:style w:type="numbering" w:customStyle="1" w:styleId="WWOutlineListStyle11">
    <w:name w:val="WW_OutlineListStyle_11"/>
    <w:basedOn w:val="Semlista"/>
    <w:pPr>
      <w:numPr>
        <w:numId w:val="40"/>
      </w:numPr>
    </w:pPr>
  </w:style>
  <w:style w:type="numbering" w:customStyle="1" w:styleId="WWOutlineListStyle10">
    <w:name w:val="WW_OutlineListStyle_10"/>
    <w:basedOn w:val="Semlista"/>
    <w:pPr>
      <w:numPr>
        <w:numId w:val="41"/>
      </w:numPr>
    </w:pPr>
  </w:style>
  <w:style w:type="numbering" w:customStyle="1" w:styleId="WWOutlineListStyle9">
    <w:name w:val="WW_OutlineListStyle_9"/>
    <w:basedOn w:val="Semlista"/>
    <w:pPr>
      <w:numPr>
        <w:numId w:val="42"/>
      </w:numPr>
    </w:pPr>
  </w:style>
  <w:style w:type="numbering" w:customStyle="1" w:styleId="WWOutlineListStyle8">
    <w:name w:val="WW_OutlineListStyle_8"/>
    <w:basedOn w:val="Semlista"/>
    <w:pPr>
      <w:numPr>
        <w:numId w:val="43"/>
      </w:numPr>
    </w:pPr>
  </w:style>
  <w:style w:type="numbering" w:customStyle="1" w:styleId="WWOutlineListStyle7">
    <w:name w:val="WW_OutlineListStyle_7"/>
    <w:basedOn w:val="Semlista"/>
    <w:pPr>
      <w:numPr>
        <w:numId w:val="44"/>
      </w:numPr>
    </w:pPr>
  </w:style>
  <w:style w:type="numbering" w:customStyle="1" w:styleId="WWOutlineListStyle6">
    <w:name w:val="WW_OutlineListStyle_6"/>
    <w:basedOn w:val="Semlista"/>
    <w:pPr>
      <w:numPr>
        <w:numId w:val="45"/>
      </w:numPr>
    </w:pPr>
  </w:style>
  <w:style w:type="numbering" w:customStyle="1" w:styleId="WWOutlineListStyle5">
    <w:name w:val="WW_OutlineListStyle_5"/>
    <w:basedOn w:val="Semlista"/>
    <w:pPr>
      <w:numPr>
        <w:numId w:val="46"/>
      </w:numPr>
    </w:pPr>
  </w:style>
  <w:style w:type="numbering" w:customStyle="1" w:styleId="WWOutlineListStyle4">
    <w:name w:val="WW_OutlineListStyle_4"/>
    <w:basedOn w:val="Semlista"/>
    <w:pPr>
      <w:numPr>
        <w:numId w:val="47"/>
      </w:numPr>
    </w:pPr>
  </w:style>
  <w:style w:type="numbering" w:customStyle="1" w:styleId="WWOutlineListStyle3">
    <w:name w:val="WW_OutlineListStyle_3"/>
    <w:basedOn w:val="Semlista"/>
    <w:pPr>
      <w:numPr>
        <w:numId w:val="48"/>
      </w:numPr>
    </w:pPr>
  </w:style>
  <w:style w:type="numbering" w:customStyle="1" w:styleId="WWOutlineListStyle2">
    <w:name w:val="WW_OutlineListStyle_2"/>
    <w:basedOn w:val="Semlista"/>
    <w:pPr>
      <w:numPr>
        <w:numId w:val="49"/>
      </w:numPr>
    </w:pPr>
  </w:style>
  <w:style w:type="numbering" w:customStyle="1" w:styleId="WWOutlineListStyle1">
    <w:name w:val="WW_OutlineListStyle_1"/>
    <w:basedOn w:val="Semlista"/>
    <w:pPr>
      <w:numPr>
        <w:numId w:val="50"/>
      </w:numPr>
    </w:pPr>
  </w:style>
  <w:style w:type="numbering" w:customStyle="1" w:styleId="WWOutlineListStyle">
    <w:name w:val="WW_OutlineListStyle"/>
    <w:basedOn w:val="Semlista"/>
    <w:pPr>
      <w:numPr>
        <w:numId w:val="51"/>
      </w:numPr>
    </w:pPr>
  </w:style>
  <w:style w:type="numbering" w:customStyle="1" w:styleId="Outline">
    <w:name w:val="Outline"/>
    <w:basedOn w:val="Semlista"/>
    <w:pPr>
      <w:numPr>
        <w:numId w:val="52"/>
      </w:numPr>
    </w:pPr>
  </w:style>
  <w:style w:type="numbering" w:customStyle="1" w:styleId="WW8Num20">
    <w:name w:val="WW8Num20"/>
    <w:basedOn w:val="Semlista"/>
    <w:pPr>
      <w:numPr>
        <w:numId w:val="53"/>
      </w:numPr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9D11DC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A6B82"/>
    <w:rPr>
      <w:color w:val="605E5C"/>
      <w:shd w:val="clear" w:color="auto" w:fill="E1DFDD"/>
    </w:rPr>
  </w:style>
  <w:style w:type="character" w:styleId="Refdenotadefim">
    <w:name w:val="endnote reference"/>
    <w:basedOn w:val="Fontepargpadro"/>
    <w:uiPriority w:val="99"/>
    <w:semiHidden/>
    <w:unhideWhenUsed/>
    <w:rsid w:val="00470AA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sid w:val="00470AA6"/>
    <w:pPr>
      <w:suppressAutoHyphens w:val="0"/>
      <w:autoSpaceDN/>
      <w:ind w:hanging="1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0AA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4C4B6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leading-none">
    <w:name w:val="leading-none"/>
    <w:basedOn w:val="Fontepargpadro"/>
    <w:rsid w:val="004C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slog.cefetmg.br/gui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log.cefetmg.br/guias/" TargetMode="External"/><Relationship Id="rId10" Type="http://schemas.openxmlformats.org/officeDocument/2006/relationships/hyperlink" Target="https://www.comprasnet.gov.br/seguro/loginPortalUASG.as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14" Type="http://schemas.openxmlformats.org/officeDocument/2006/relationships/hyperlink" Target="https://www.gov.br/compras/pt-br/acesso-a-informacao/legislacao/instrucoes-normativas/instrucao-normativa-seges-me-no-65-de-7-de-julho-d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5</Pages>
  <Words>1105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Ulisses Cavalca</dc:creator>
  <cp:lastModifiedBy>Jamile Camargos de Oliveira</cp:lastModifiedBy>
  <cp:revision>32</cp:revision>
  <cp:lastPrinted>2025-09-03T13:55:00Z</cp:lastPrinted>
  <dcterms:created xsi:type="dcterms:W3CDTF">2025-06-12T18:32:00Z</dcterms:created>
  <dcterms:modified xsi:type="dcterms:W3CDTF">2025-09-09T11:58:00Z</dcterms:modified>
</cp:coreProperties>
</file>